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7ED1" w14:textId="77777777" w:rsidR="009729F9" w:rsidRDefault="009729F9" w:rsidP="009729F9">
      <w:pPr>
        <w:jc w:val="center"/>
        <w:rPr>
          <w:b/>
          <w:color w:val="00B0F0"/>
          <w:sz w:val="36"/>
          <w:szCs w:val="36"/>
        </w:rPr>
      </w:pPr>
      <w:r>
        <w:rPr>
          <w:noProof/>
          <w:lang w:eastAsia="en-GB"/>
        </w:rPr>
        <w:drawing>
          <wp:inline distT="0" distB="0" distL="0" distR="0" wp14:anchorId="264636F0" wp14:editId="6EB6686E">
            <wp:extent cx="33623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5E03F98E" w14:textId="77777777" w:rsidR="00583DBA" w:rsidRPr="00D371EE" w:rsidRDefault="00202D89" w:rsidP="00583DBA">
      <w:pPr>
        <w:spacing w:line="240" w:lineRule="auto"/>
        <w:rPr>
          <w:rFonts w:ascii="Arial" w:hAnsi="Arial" w:cs="Arial"/>
          <w:b/>
          <w:color w:val="8496B0" w:themeColor="text2" w:themeTint="99"/>
          <w:sz w:val="24"/>
          <w:szCs w:val="24"/>
          <w:u w:val="single"/>
        </w:rPr>
      </w:pPr>
      <w:r>
        <w:rPr>
          <w:b/>
          <w:sz w:val="36"/>
          <w:szCs w:val="36"/>
        </w:rPr>
        <w:t xml:space="preserve"> </w:t>
      </w:r>
      <w:r w:rsidR="00583DBA" w:rsidRPr="00D371EE">
        <w:rPr>
          <w:rFonts w:ascii="Arial" w:hAnsi="Arial" w:cs="Arial"/>
          <w:b/>
          <w:color w:val="8496B0" w:themeColor="text2" w:themeTint="99"/>
          <w:sz w:val="24"/>
          <w:szCs w:val="24"/>
          <w:u w:val="single"/>
        </w:rPr>
        <w:t>Oaklands College – Student Protection Plan</w:t>
      </w:r>
    </w:p>
    <w:p w14:paraId="12421866" w14:textId="77777777" w:rsidR="00583DBA" w:rsidRPr="004A7A35" w:rsidRDefault="00583DBA" w:rsidP="00583DBA">
      <w:pPr>
        <w:rPr>
          <w:rFonts w:ascii="Arial" w:hAnsi="Arial" w:cs="Arial"/>
          <w:b/>
          <w:i/>
        </w:rPr>
      </w:pPr>
      <w:r w:rsidRPr="004A7A35">
        <w:rPr>
          <w:rFonts w:ascii="Arial" w:hAnsi="Arial" w:cs="Arial"/>
          <w:b/>
          <w:i/>
        </w:rPr>
        <w:t>An Assessment of the range of risks to the continuation of study for students, how those risks may differ based on students’ need, characteristics and circumstances, and the likelihood that those risks will crystallise</w:t>
      </w:r>
    </w:p>
    <w:p w14:paraId="0CAEA985" w14:textId="77777777" w:rsidR="00583DBA" w:rsidRPr="004A7A35" w:rsidRDefault="00583DBA" w:rsidP="00583DBA">
      <w:pPr>
        <w:rPr>
          <w:rFonts w:ascii="Arial" w:hAnsi="Arial" w:cs="Arial"/>
        </w:rPr>
      </w:pPr>
      <w:r w:rsidRPr="004A7A35">
        <w:rPr>
          <w:rFonts w:ascii="Arial" w:hAnsi="Arial" w:cs="Arial"/>
        </w:rPr>
        <w:t xml:space="preserve">Oaklands College is dedicated to helping students achieve good academic outcomes from their studies. Occasionally, circumstances occur that result in changes having to be made to the delivery of the programme.  This could include a change in modules, how they are delivered and, in extreme cases, a radical change to the programme. These provisions are noted in the </w:t>
      </w:r>
      <w:r w:rsidRPr="004976CD">
        <w:rPr>
          <w:rFonts w:ascii="Arial" w:hAnsi="Arial" w:cs="Arial"/>
          <w:b/>
        </w:rPr>
        <w:t>K</w:t>
      </w:r>
      <w:r w:rsidRPr="00471071">
        <w:rPr>
          <w:rFonts w:ascii="Arial" w:hAnsi="Arial" w:cs="Arial"/>
          <w:b/>
        </w:rPr>
        <w:t xml:space="preserve">ey </w:t>
      </w:r>
      <w:r>
        <w:rPr>
          <w:rFonts w:ascii="Arial" w:hAnsi="Arial" w:cs="Arial"/>
          <w:b/>
        </w:rPr>
        <w:t>F</w:t>
      </w:r>
      <w:r w:rsidRPr="00471071">
        <w:rPr>
          <w:rFonts w:ascii="Arial" w:hAnsi="Arial" w:cs="Arial"/>
          <w:b/>
        </w:rPr>
        <w:t>acts</w:t>
      </w:r>
      <w:r>
        <w:rPr>
          <w:rFonts w:ascii="Arial" w:hAnsi="Arial" w:cs="Arial"/>
          <w:b/>
        </w:rPr>
        <w:t xml:space="preserve"> </w:t>
      </w:r>
      <w:r w:rsidRPr="004A7A35">
        <w:rPr>
          <w:rFonts w:ascii="Arial" w:hAnsi="Arial" w:cs="Arial"/>
        </w:rPr>
        <w:t>provided to each student prior to acceptance of the offer.</w:t>
      </w:r>
      <w:r>
        <w:rPr>
          <w:rFonts w:ascii="Arial" w:hAnsi="Arial" w:cs="Arial"/>
          <w:b/>
        </w:rPr>
        <w:t xml:space="preserve"> </w:t>
      </w:r>
      <w:r>
        <w:rPr>
          <w:rFonts w:ascii="Arial" w:hAnsi="Arial" w:cs="Arial"/>
        </w:rPr>
        <w:t>The</w:t>
      </w:r>
      <w:r w:rsidRPr="00471071">
        <w:rPr>
          <w:rFonts w:ascii="Arial" w:hAnsi="Arial" w:cs="Arial"/>
          <w:b/>
        </w:rPr>
        <w:t xml:space="preserve"> Student Fees Policy and Procedure</w:t>
      </w:r>
      <w:r>
        <w:rPr>
          <w:rStyle w:val="FootnoteReference"/>
          <w:rFonts w:ascii="Arial" w:hAnsi="Arial" w:cs="Arial"/>
          <w:b/>
        </w:rPr>
        <w:t xml:space="preserve"> </w:t>
      </w:r>
      <w:r>
        <w:rPr>
          <w:rFonts w:ascii="Arial" w:hAnsi="Arial" w:cs="Arial"/>
        </w:rPr>
        <w:t>outlines the refunds and compensation policy.</w:t>
      </w:r>
    </w:p>
    <w:p w14:paraId="23AA0A17" w14:textId="77777777" w:rsidR="00583DBA" w:rsidRPr="004A7A35" w:rsidRDefault="00583DBA" w:rsidP="00583DBA">
      <w:pPr>
        <w:rPr>
          <w:rFonts w:ascii="Arial" w:hAnsi="Arial" w:cs="Arial"/>
        </w:rPr>
      </w:pPr>
      <w:r w:rsidRPr="004A7A35">
        <w:rPr>
          <w:rFonts w:ascii="Arial" w:hAnsi="Arial" w:cs="Arial"/>
        </w:rPr>
        <w:t>Circumstances that may affect delivery of the programme could be due to, but not limited to, one or more of the following:</w:t>
      </w:r>
    </w:p>
    <w:p w14:paraId="4D51E5BA" w14:textId="77777777" w:rsidR="00583DBA" w:rsidRPr="004A7A35" w:rsidRDefault="00583DBA" w:rsidP="00583DBA">
      <w:pPr>
        <w:pStyle w:val="ListParagraph"/>
        <w:numPr>
          <w:ilvl w:val="0"/>
          <w:numId w:val="11"/>
        </w:numPr>
        <w:spacing w:after="200" w:line="276" w:lineRule="auto"/>
        <w:rPr>
          <w:rFonts w:ascii="Arial" w:hAnsi="Arial" w:cs="Arial"/>
        </w:rPr>
      </w:pPr>
      <w:r w:rsidRPr="004A7A35">
        <w:rPr>
          <w:rFonts w:ascii="Arial" w:hAnsi="Arial" w:cs="Arial"/>
        </w:rPr>
        <w:t xml:space="preserve">changes in course material and content – </w:t>
      </w:r>
      <w:r w:rsidRPr="004A7A35">
        <w:rPr>
          <w:rFonts w:ascii="Arial" w:hAnsi="Arial" w:cs="Arial"/>
          <w:i/>
        </w:rPr>
        <w:t>low risk, this is in place before the start of a programme so that students are aware whilst they are applying, however students would be consulted if this was to happen in year</w:t>
      </w:r>
    </w:p>
    <w:p w14:paraId="59E6F473" w14:textId="77777777" w:rsidR="00583DBA" w:rsidRPr="004A7A35" w:rsidRDefault="00583DBA" w:rsidP="00583DBA">
      <w:pPr>
        <w:pStyle w:val="ListParagraph"/>
        <w:numPr>
          <w:ilvl w:val="0"/>
          <w:numId w:val="11"/>
        </w:numPr>
        <w:spacing w:after="200" w:line="276" w:lineRule="auto"/>
        <w:rPr>
          <w:rFonts w:ascii="Arial" w:hAnsi="Arial" w:cs="Arial"/>
          <w:i/>
        </w:rPr>
      </w:pPr>
      <w:r w:rsidRPr="004A7A35">
        <w:rPr>
          <w:rFonts w:ascii="Arial" w:hAnsi="Arial" w:cs="Arial"/>
        </w:rPr>
        <w:t xml:space="preserve">a decision to close a course – </w:t>
      </w:r>
      <w:r w:rsidRPr="004A7A35">
        <w:rPr>
          <w:rFonts w:ascii="Arial" w:hAnsi="Arial" w:cs="Arial"/>
          <w:i/>
        </w:rPr>
        <w:t>low risk, a course would not normally be closed in year</w:t>
      </w:r>
    </w:p>
    <w:p w14:paraId="0C3CBE7D" w14:textId="77777777" w:rsidR="00583DBA" w:rsidRPr="004A7A35" w:rsidRDefault="00583DBA" w:rsidP="00583DBA">
      <w:pPr>
        <w:pStyle w:val="ListParagraph"/>
        <w:numPr>
          <w:ilvl w:val="0"/>
          <w:numId w:val="11"/>
        </w:numPr>
        <w:spacing w:after="200" w:line="276" w:lineRule="auto"/>
        <w:rPr>
          <w:rFonts w:ascii="Arial" w:hAnsi="Arial" w:cs="Arial"/>
        </w:rPr>
      </w:pPr>
      <w:r w:rsidRPr="004A7A35">
        <w:rPr>
          <w:rFonts w:ascii="Arial" w:hAnsi="Arial" w:cs="Arial"/>
        </w:rPr>
        <w:t xml:space="preserve">a decision to not run a course for the subsequent year – </w:t>
      </w:r>
      <w:r w:rsidRPr="004A7A35">
        <w:rPr>
          <w:rFonts w:ascii="Arial" w:hAnsi="Arial" w:cs="Arial"/>
          <w:i/>
        </w:rPr>
        <w:t>low to medium risk, occasionally if there are not viable cohorts to run a programme this may occur well in advance of any significant timelines</w:t>
      </w:r>
    </w:p>
    <w:p w14:paraId="11648BAB" w14:textId="77777777" w:rsidR="00583DBA" w:rsidRPr="004A7A35" w:rsidRDefault="00583DBA" w:rsidP="00583DBA">
      <w:pPr>
        <w:pStyle w:val="ListParagraph"/>
        <w:numPr>
          <w:ilvl w:val="0"/>
          <w:numId w:val="11"/>
        </w:numPr>
        <w:spacing w:after="200" w:line="276" w:lineRule="auto"/>
        <w:rPr>
          <w:rFonts w:ascii="Arial" w:hAnsi="Arial" w:cs="Arial"/>
          <w:i/>
        </w:rPr>
      </w:pPr>
      <w:r w:rsidRPr="004A7A35">
        <w:rPr>
          <w:rFonts w:ascii="Arial" w:hAnsi="Arial" w:cs="Arial"/>
        </w:rPr>
        <w:t xml:space="preserve">changes to regulatory framework affecting a specific course – </w:t>
      </w:r>
      <w:r w:rsidRPr="004A7A35">
        <w:rPr>
          <w:rFonts w:ascii="Arial" w:hAnsi="Arial" w:cs="Arial"/>
          <w:i/>
        </w:rPr>
        <w:t>low risk, this would be planned for and implemented in a timely manner to ensure deadlines are kept to and prior to a course starting, training would also be provided where required to staff.</w:t>
      </w:r>
    </w:p>
    <w:p w14:paraId="594ED2D2" w14:textId="77777777" w:rsidR="00583DBA" w:rsidRPr="004A7A35" w:rsidRDefault="00583DBA" w:rsidP="00583DBA">
      <w:pPr>
        <w:pStyle w:val="ListParagraph"/>
        <w:numPr>
          <w:ilvl w:val="0"/>
          <w:numId w:val="11"/>
        </w:numPr>
        <w:spacing w:after="200" w:line="276" w:lineRule="auto"/>
        <w:rPr>
          <w:rFonts w:ascii="Arial" w:hAnsi="Arial" w:cs="Arial"/>
        </w:rPr>
      </w:pPr>
      <w:r w:rsidRPr="004A7A35">
        <w:rPr>
          <w:rFonts w:ascii="Arial" w:hAnsi="Arial" w:cs="Arial"/>
        </w:rPr>
        <w:t xml:space="preserve">loss of accreditation from regulatory bodies e.g. </w:t>
      </w:r>
      <w:proofErr w:type="spellStart"/>
      <w:r w:rsidRPr="004A7A35">
        <w:rPr>
          <w:rFonts w:ascii="Arial" w:hAnsi="Arial" w:cs="Arial"/>
        </w:rPr>
        <w:t>Pearsons</w:t>
      </w:r>
      <w:proofErr w:type="spellEnd"/>
      <w:r w:rsidRPr="004A7A35">
        <w:rPr>
          <w:rFonts w:ascii="Arial" w:hAnsi="Arial" w:cs="Arial"/>
        </w:rPr>
        <w:t xml:space="preserve"> etc. – </w:t>
      </w:r>
      <w:r w:rsidRPr="004A7A35">
        <w:rPr>
          <w:rFonts w:ascii="Arial" w:hAnsi="Arial" w:cs="Arial"/>
          <w:i/>
        </w:rPr>
        <w:t>low risk,</w:t>
      </w:r>
      <w:r w:rsidRPr="004A7A35">
        <w:rPr>
          <w:rFonts w:ascii="Arial" w:hAnsi="Arial" w:cs="Arial"/>
        </w:rPr>
        <w:t xml:space="preserve"> </w:t>
      </w:r>
      <w:r w:rsidRPr="004A7A35">
        <w:rPr>
          <w:rFonts w:ascii="Arial" w:hAnsi="Arial" w:cs="Arial"/>
          <w:i/>
        </w:rPr>
        <w:t xml:space="preserve">this would be mitigated by effective oversight of any known or emerging risks by the Academic Quality Department working with the Higher Education Manager and academic departments to put in place robust plans to deal with any issues. </w:t>
      </w:r>
    </w:p>
    <w:p w14:paraId="3FFAA8DE" w14:textId="77777777" w:rsidR="00583DBA" w:rsidRPr="004A7A35" w:rsidRDefault="00583DBA" w:rsidP="00583DBA">
      <w:pPr>
        <w:pStyle w:val="ListParagraph"/>
        <w:numPr>
          <w:ilvl w:val="0"/>
          <w:numId w:val="11"/>
        </w:numPr>
        <w:spacing w:after="200" w:line="276" w:lineRule="auto"/>
        <w:rPr>
          <w:rFonts w:ascii="Arial" w:hAnsi="Arial" w:cs="Arial"/>
          <w:i/>
        </w:rPr>
      </w:pPr>
      <w:r w:rsidRPr="004A7A35">
        <w:rPr>
          <w:rFonts w:ascii="Arial" w:hAnsi="Arial" w:cs="Arial"/>
        </w:rPr>
        <w:t xml:space="preserve">industrial action by College staff or third parties – </w:t>
      </w:r>
      <w:r w:rsidRPr="004A7A35">
        <w:rPr>
          <w:rFonts w:ascii="Arial" w:hAnsi="Arial" w:cs="Arial"/>
          <w:i/>
        </w:rPr>
        <w:t>low risk, this has not yet occurred. Any industrial action would lead to a contingency planning working group</w:t>
      </w:r>
      <w:r>
        <w:rPr>
          <w:rFonts w:ascii="Arial" w:hAnsi="Arial" w:cs="Arial"/>
          <w:i/>
        </w:rPr>
        <w:t xml:space="preserve"> being</w:t>
      </w:r>
      <w:r w:rsidRPr="004A7A35">
        <w:rPr>
          <w:rFonts w:ascii="Arial" w:hAnsi="Arial" w:cs="Arial"/>
          <w:i/>
        </w:rPr>
        <w:t xml:space="preserve"> put in place and directed by the Principal</w:t>
      </w:r>
    </w:p>
    <w:p w14:paraId="0E2D19AE" w14:textId="77777777" w:rsidR="00583DBA" w:rsidRPr="004A7A35" w:rsidRDefault="00583DBA" w:rsidP="00583DBA">
      <w:pPr>
        <w:pStyle w:val="ListParagraph"/>
        <w:numPr>
          <w:ilvl w:val="0"/>
          <w:numId w:val="11"/>
        </w:numPr>
        <w:spacing w:after="200" w:line="276" w:lineRule="auto"/>
        <w:rPr>
          <w:rFonts w:ascii="Arial" w:hAnsi="Arial" w:cs="Arial"/>
          <w:i/>
        </w:rPr>
      </w:pPr>
      <w:r w:rsidRPr="004A7A35">
        <w:rPr>
          <w:rFonts w:ascii="Arial" w:hAnsi="Arial" w:cs="Arial"/>
        </w:rPr>
        <w:t xml:space="preserve">the unanticipated departure of key members of </w:t>
      </w:r>
      <w:proofErr w:type="gramStart"/>
      <w:r w:rsidRPr="004A7A35">
        <w:rPr>
          <w:rFonts w:ascii="Arial" w:hAnsi="Arial" w:cs="Arial"/>
        </w:rPr>
        <w:t>College</w:t>
      </w:r>
      <w:proofErr w:type="gramEnd"/>
      <w:r w:rsidRPr="004A7A35">
        <w:rPr>
          <w:rFonts w:ascii="Arial" w:hAnsi="Arial" w:cs="Arial"/>
        </w:rPr>
        <w:t xml:space="preserve"> staff – </w:t>
      </w:r>
      <w:r w:rsidRPr="004A7A35">
        <w:rPr>
          <w:rFonts w:ascii="Arial" w:hAnsi="Arial" w:cs="Arial"/>
          <w:i/>
        </w:rPr>
        <w:t>low to medium risk,</w:t>
      </w:r>
      <w:r>
        <w:rPr>
          <w:rFonts w:ascii="Arial" w:hAnsi="Arial" w:cs="Arial"/>
          <w:i/>
        </w:rPr>
        <w:t xml:space="preserve"> supported by the Consortium C</w:t>
      </w:r>
      <w:r w:rsidRPr="004A7A35">
        <w:rPr>
          <w:rFonts w:ascii="Arial" w:hAnsi="Arial" w:cs="Arial"/>
          <w:i/>
        </w:rPr>
        <w:t xml:space="preserve">olleges to infill classes, use of visiting lectures or bank staff would be put in place. </w:t>
      </w:r>
    </w:p>
    <w:p w14:paraId="4BEC52B7" w14:textId="6D17A89D" w:rsidR="00583DBA" w:rsidRDefault="00583DBA" w:rsidP="00214192">
      <w:pPr>
        <w:spacing w:after="0"/>
        <w:rPr>
          <w:rFonts w:ascii="Arial" w:hAnsi="Arial" w:cs="Arial"/>
        </w:rPr>
      </w:pPr>
      <w:r w:rsidRPr="004A7A35">
        <w:rPr>
          <w:rFonts w:ascii="Arial" w:hAnsi="Arial" w:cs="Arial"/>
        </w:rPr>
        <w:lastRenderedPageBreak/>
        <w:t xml:space="preserve">The risk factor is considered low to medium for each of the situations. The College has sufficient contingencies in place should one of the above situations arise. </w:t>
      </w:r>
    </w:p>
    <w:p w14:paraId="3FAC8246" w14:textId="77777777" w:rsidR="00214192" w:rsidRPr="00583DBA" w:rsidRDefault="00214192" w:rsidP="00214192">
      <w:pPr>
        <w:spacing w:after="0"/>
        <w:rPr>
          <w:rFonts w:ascii="Arial" w:hAnsi="Arial" w:cs="Arial"/>
          <w:strike/>
        </w:rPr>
      </w:pPr>
    </w:p>
    <w:p w14:paraId="442E1185" w14:textId="77777777" w:rsidR="00583DBA" w:rsidRPr="004A7A35" w:rsidRDefault="00583DBA" w:rsidP="00583DBA">
      <w:pPr>
        <w:rPr>
          <w:rFonts w:ascii="Arial" w:hAnsi="Arial" w:cs="Arial"/>
          <w:b/>
          <w:i/>
        </w:rPr>
      </w:pPr>
      <w:r w:rsidRPr="004A7A35">
        <w:rPr>
          <w:rFonts w:ascii="Arial" w:hAnsi="Arial" w:cs="Arial"/>
          <w:b/>
          <w:i/>
        </w:rPr>
        <w:t>The measures that have been put in place to mitigate those risks that are considered reasonably likely to crystallise</w:t>
      </w:r>
    </w:p>
    <w:p w14:paraId="3662E965" w14:textId="77777777" w:rsidR="00583DBA" w:rsidRPr="00D371EE" w:rsidRDefault="00583DBA" w:rsidP="00583DBA">
      <w:pPr>
        <w:rPr>
          <w:rFonts w:ascii="Arial" w:hAnsi="Arial" w:cs="Arial"/>
          <w:b/>
          <w:i/>
        </w:rPr>
      </w:pPr>
      <w:r w:rsidRPr="00D371EE">
        <w:rPr>
          <w:rFonts w:ascii="Arial" w:hAnsi="Arial" w:cs="Arial"/>
          <w:b/>
          <w:i/>
        </w:rPr>
        <w:t>Suspension of a course</w:t>
      </w:r>
    </w:p>
    <w:p w14:paraId="0BA08583" w14:textId="77777777" w:rsidR="00583DBA" w:rsidRPr="004A7A35" w:rsidRDefault="00583DBA" w:rsidP="00583DBA">
      <w:pPr>
        <w:rPr>
          <w:rFonts w:ascii="Arial" w:hAnsi="Arial" w:cs="Arial"/>
        </w:rPr>
      </w:pPr>
      <w:r w:rsidRPr="004A7A35">
        <w:rPr>
          <w:rFonts w:ascii="Arial" w:hAnsi="Arial" w:cs="Arial"/>
        </w:rPr>
        <w:t>The College has established and tested procedures in place in the event of suspension/clos</w:t>
      </w:r>
      <w:r>
        <w:rPr>
          <w:rFonts w:ascii="Arial" w:hAnsi="Arial" w:cs="Arial"/>
        </w:rPr>
        <w:t>ure</w:t>
      </w:r>
      <w:r w:rsidRPr="004A7A35">
        <w:rPr>
          <w:rFonts w:ascii="Arial" w:hAnsi="Arial" w:cs="Arial"/>
        </w:rPr>
        <w:t xml:space="preserve"> of a course. Where there is an impact on the students, the effect will be mitigated by: </w:t>
      </w:r>
    </w:p>
    <w:p w14:paraId="282EA073" w14:textId="77777777" w:rsidR="00583DBA" w:rsidRPr="004A7A35" w:rsidRDefault="00583DBA" w:rsidP="00583DBA">
      <w:pPr>
        <w:pStyle w:val="ListParagraph"/>
        <w:numPr>
          <w:ilvl w:val="0"/>
          <w:numId w:val="13"/>
        </w:numPr>
        <w:spacing w:after="200" w:line="276" w:lineRule="auto"/>
        <w:rPr>
          <w:rFonts w:ascii="Arial" w:hAnsi="Arial" w:cs="Arial"/>
        </w:rPr>
      </w:pPr>
      <w:r w:rsidRPr="004A7A35">
        <w:rPr>
          <w:rFonts w:ascii="Arial" w:hAnsi="Arial" w:cs="Arial"/>
        </w:rPr>
        <w:t>communication with current students and assure them there will be no adverse effects to their studies by the decision to suspend the course and they will complete their programme at the College;</w:t>
      </w:r>
    </w:p>
    <w:p w14:paraId="1FCE158D" w14:textId="77777777" w:rsidR="00583DBA" w:rsidRPr="004A7A35" w:rsidRDefault="00583DBA" w:rsidP="00583DBA">
      <w:pPr>
        <w:pStyle w:val="ListParagraph"/>
        <w:numPr>
          <w:ilvl w:val="0"/>
          <w:numId w:val="13"/>
        </w:numPr>
        <w:spacing w:after="200" w:line="276" w:lineRule="auto"/>
        <w:rPr>
          <w:rFonts w:ascii="Arial" w:hAnsi="Arial" w:cs="Arial"/>
        </w:rPr>
      </w:pPr>
      <w:r w:rsidRPr="004A7A35">
        <w:rPr>
          <w:rFonts w:ascii="Arial" w:hAnsi="Arial" w:cs="Arial"/>
        </w:rPr>
        <w:t>consultation with stakeholders who may be affected to ensure appropriate procedures and processes have been undertaken;</w:t>
      </w:r>
    </w:p>
    <w:p w14:paraId="401D776C" w14:textId="77777777" w:rsidR="00583DBA" w:rsidRPr="004A7A35" w:rsidRDefault="00583DBA" w:rsidP="00583DBA">
      <w:pPr>
        <w:pStyle w:val="ListParagraph"/>
        <w:numPr>
          <w:ilvl w:val="0"/>
          <w:numId w:val="13"/>
        </w:numPr>
        <w:spacing w:after="200" w:line="276" w:lineRule="auto"/>
        <w:rPr>
          <w:rFonts w:ascii="Arial" w:hAnsi="Arial" w:cs="Arial"/>
        </w:rPr>
      </w:pPr>
      <w:r w:rsidRPr="004A7A35">
        <w:rPr>
          <w:rFonts w:ascii="Arial" w:hAnsi="Arial" w:cs="Arial"/>
        </w:rPr>
        <w:t>current applicants will be notified in accordance to UCAS deadlines, allowing time for students to source an alternative,</w:t>
      </w:r>
      <w:r>
        <w:rPr>
          <w:rFonts w:ascii="Arial" w:hAnsi="Arial" w:cs="Arial"/>
        </w:rPr>
        <w:t xml:space="preserve"> suitable programme;</w:t>
      </w:r>
      <w:r w:rsidRPr="004A7A35">
        <w:rPr>
          <w:rFonts w:ascii="Arial" w:hAnsi="Arial" w:cs="Arial"/>
        </w:rPr>
        <w:t xml:space="preserve"> </w:t>
      </w:r>
    </w:p>
    <w:p w14:paraId="457B42BA" w14:textId="77777777" w:rsidR="00583DBA" w:rsidRPr="004A7A35" w:rsidRDefault="00583DBA" w:rsidP="00583DBA">
      <w:pPr>
        <w:pStyle w:val="ListParagraph"/>
        <w:numPr>
          <w:ilvl w:val="0"/>
          <w:numId w:val="13"/>
        </w:numPr>
        <w:spacing w:after="200" w:line="276" w:lineRule="auto"/>
        <w:rPr>
          <w:rFonts w:ascii="Arial" w:hAnsi="Arial" w:cs="Arial"/>
        </w:rPr>
      </w:pPr>
      <w:r w:rsidRPr="004A7A35">
        <w:rPr>
          <w:rFonts w:ascii="Arial" w:hAnsi="Arial" w:cs="Arial"/>
        </w:rPr>
        <w:t>offering support to those current students who wish to find an alternative provider.</w:t>
      </w:r>
    </w:p>
    <w:p w14:paraId="24BBA0E7" w14:textId="77777777" w:rsidR="00583DBA" w:rsidRPr="004A7A35" w:rsidRDefault="00583DBA" w:rsidP="00583DBA">
      <w:pPr>
        <w:rPr>
          <w:rFonts w:ascii="Arial" w:hAnsi="Arial" w:cs="Arial"/>
        </w:rPr>
      </w:pPr>
      <w:r>
        <w:rPr>
          <w:rFonts w:ascii="Arial" w:hAnsi="Arial" w:cs="Arial"/>
        </w:rPr>
        <w:t>To date, the C</w:t>
      </w:r>
      <w:r w:rsidRPr="004A7A35">
        <w:rPr>
          <w:rFonts w:ascii="Arial" w:hAnsi="Arial" w:cs="Arial"/>
        </w:rPr>
        <w:t xml:space="preserve">ollege has never withdrawn a course in year. </w:t>
      </w:r>
    </w:p>
    <w:p w14:paraId="4D1894C2" w14:textId="77777777" w:rsidR="00583DBA" w:rsidRPr="00D371EE" w:rsidRDefault="00583DBA" w:rsidP="00583DBA">
      <w:pPr>
        <w:rPr>
          <w:rFonts w:ascii="Arial" w:hAnsi="Arial" w:cs="Arial"/>
          <w:b/>
          <w:i/>
        </w:rPr>
      </w:pPr>
      <w:r w:rsidRPr="00D371EE">
        <w:rPr>
          <w:rFonts w:ascii="Arial" w:hAnsi="Arial" w:cs="Arial"/>
          <w:b/>
          <w:i/>
        </w:rPr>
        <w:t>Major changes in year to course content</w:t>
      </w:r>
    </w:p>
    <w:p w14:paraId="430FC452" w14:textId="77777777" w:rsidR="00583DBA" w:rsidRPr="004A7A35" w:rsidRDefault="00583DBA" w:rsidP="00583DBA">
      <w:pPr>
        <w:rPr>
          <w:rFonts w:ascii="Arial" w:hAnsi="Arial" w:cs="Arial"/>
        </w:rPr>
      </w:pPr>
      <w:r w:rsidRPr="004A7A35">
        <w:rPr>
          <w:rFonts w:ascii="Arial" w:hAnsi="Arial" w:cs="Arial"/>
        </w:rPr>
        <w:t>The College will endeavour to deliver programmes in accordance with the description given in the College prospectus for the academic year in which a student began their programme. However, should major in-year changes to the course occur the College will strive to ensure that:</w:t>
      </w:r>
    </w:p>
    <w:p w14:paraId="4EEB6291" w14:textId="77777777" w:rsidR="00583DBA" w:rsidRPr="004A7A35" w:rsidRDefault="00583DBA" w:rsidP="00583DBA">
      <w:pPr>
        <w:pStyle w:val="ListParagraph"/>
        <w:numPr>
          <w:ilvl w:val="0"/>
          <w:numId w:val="14"/>
        </w:numPr>
        <w:spacing w:after="200" w:line="276" w:lineRule="auto"/>
        <w:rPr>
          <w:rFonts w:ascii="Arial" w:hAnsi="Arial" w:cs="Arial"/>
        </w:rPr>
      </w:pPr>
      <w:r w:rsidRPr="004A7A35">
        <w:rPr>
          <w:rFonts w:ascii="Arial" w:hAnsi="Arial" w:cs="Arial"/>
        </w:rPr>
        <w:t>changes are restricted to the minimum necessary to achieve the required quality of experience, and affected students are notified and consulted with as appropriate;</w:t>
      </w:r>
    </w:p>
    <w:p w14:paraId="37313A48" w14:textId="77777777" w:rsidR="00583DBA" w:rsidRPr="004A7A35" w:rsidRDefault="00583DBA" w:rsidP="00583DBA">
      <w:pPr>
        <w:pStyle w:val="ListParagraph"/>
        <w:numPr>
          <w:ilvl w:val="0"/>
          <w:numId w:val="14"/>
        </w:numPr>
        <w:spacing w:after="200" w:line="276" w:lineRule="auto"/>
        <w:rPr>
          <w:rFonts w:ascii="Arial" w:hAnsi="Arial" w:cs="Arial"/>
        </w:rPr>
      </w:pPr>
      <w:r w:rsidRPr="004A7A35">
        <w:rPr>
          <w:rFonts w:ascii="Arial" w:hAnsi="Arial" w:cs="Arial"/>
        </w:rPr>
        <w:t>if necessary it allows students the opportunity to withdraw from the programme;</w:t>
      </w:r>
    </w:p>
    <w:p w14:paraId="76959B51" w14:textId="77777777" w:rsidR="00583DBA" w:rsidRPr="004A7A35" w:rsidRDefault="00583DBA" w:rsidP="00583DBA">
      <w:pPr>
        <w:pStyle w:val="ListParagraph"/>
        <w:numPr>
          <w:ilvl w:val="0"/>
          <w:numId w:val="14"/>
        </w:numPr>
        <w:spacing w:after="200" w:line="276" w:lineRule="auto"/>
        <w:rPr>
          <w:rFonts w:ascii="Arial" w:hAnsi="Arial" w:cs="Arial"/>
        </w:rPr>
      </w:pPr>
      <w:r w:rsidRPr="004A7A35">
        <w:rPr>
          <w:rFonts w:ascii="Arial" w:hAnsi="Arial" w:cs="Arial"/>
        </w:rPr>
        <w:t xml:space="preserve">where required, students will be offered reasonable support to transfer to another programme at the College, or to another provider. </w:t>
      </w:r>
    </w:p>
    <w:p w14:paraId="64747759" w14:textId="77777777" w:rsidR="00583DBA" w:rsidRPr="00D371EE" w:rsidRDefault="00583DBA" w:rsidP="00583DBA">
      <w:pPr>
        <w:spacing w:line="240" w:lineRule="auto"/>
        <w:rPr>
          <w:rFonts w:ascii="Arial" w:hAnsi="Arial" w:cs="Arial"/>
          <w:b/>
          <w:i/>
        </w:rPr>
      </w:pPr>
      <w:r w:rsidRPr="00D371EE">
        <w:rPr>
          <w:rFonts w:ascii="Arial" w:hAnsi="Arial" w:cs="Arial"/>
          <w:b/>
          <w:i/>
        </w:rPr>
        <w:t>Industrial Action</w:t>
      </w:r>
    </w:p>
    <w:p w14:paraId="63137429" w14:textId="77777777" w:rsidR="00583DBA" w:rsidRPr="004A7A35" w:rsidRDefault="00583DBA" w:rsidP="00583DBA">
      <w:pPr>
        <w:rPr>
          <w:rFonts w:ascii="Arial" w:hAnsi="Arial" w:cs="Arial"/>
        </w:rPr>
      </w:pPr>
      <w:r w:rsidRPr="004A7A35">
        <w:rPr>
          <w:rFonts w:ascii="Arial" w:hAnsi="Arial" w:cs="Arial"/>
        </w:rPr>
        <w:t>The College has established frameworks for consultation and negotiation with the recognised trade unions. It is highly committed to maintaining an effective employee relations culture and working with trade union colleagues to achieve reasonable solutions to matters that may arise on occasions.</w:t>
      </w:r>
    </w:p>
    <w:p w14:paraId="7C5C3922" w14:textId="77777777" w:rsidR="00583DBA" w:rsidRPr="004A7A35" w:rsidRDefault="00583DBA" w:rsidP="00583DBA">
      <w:pPr>
        <w:rPr>
          <w:rFonts w:ascii="Arial" w:hAnsi="Arial" w:cs="Arial"/>
        </w:rPr>
      </w:pPr>
      <w:r w:rsidRPr="004A7A35">
        <w:rPr>
          <w:rFonts w:ascii="Arial" w:hAnsi="Arial" w:cs="Arial"/>
        </w:rPr>
        <w:t>Where industrial action does occur, the College will seek to:</w:t>
      </w:r>
    </w:p>
    <w:p w14:paraId="7908D14C" w14:textId="77777777" w:rsidR="00583DBA" w:rsidRPr="004A7A35" w:rsidRDefault="00583DBA" w:rsidP="00583DBA">
      <w:pPr>
        <w:pStyle w:val="ListParagraph"/>
        <w:numPr>
          <w:ilvl w:val="0"/>
          <w:numId w:val="15"/>
        </w:numPr>
        <w:spacing w:after="200" w:line="276" w:lineRule="auto"/>
        <w:rPr>
          <w:rFonts w:ascii="Arial" w:hAnsi="Arial" w:cs="Arial"/>
        </w:rPr>
      </w:pPr>
      <w:r w:rsidRPr="004A7A35">
        <w:rPr>
          <w:rFonts w:ascii="Arial" w:hAnsi="Arial" w:cs="Arial"/>
        </w:rPr>
        <w:t>ensure, as far as is possible, that normal operations and services are maintained;</w:t>
      </w:r>
    </w:p>
    <w:p w14:paraId="62524BDD" w14:textId="77777777" w:rsidR="00583DBA" w:rsidRDefault="00583DBA" w:rsidP="00583DBA">
      <w:pPr>
        <w:pStyle w:val="ListParagraph"/>
        <w:numPr>
          <w:ilvl w:val="0"/>
          <w:numId w:val="15"/>
        </w:numPr>
        <w:spacing w:after="0" w:line="276" w:lineRule="auto"/>
        <w:rPr>
          <w:rFonts w:ascii="Arial" w:hAnsi="Arial" w:cs="Arial"/>
        </w:rPr>
      </w:pPr>
      <w:r w:rsidRPr="004A7A35">
        <w:rPr>
          <w:rFonts w:ascii="Arial" w:hAnsi="Arial" w:cs="Arial"/>
        </w:rPr>
        <w:t>take all reasonable steps to ensure that disruption is minimal and fulfil its responsibilities to students, as far as is possible to determine, that they are not disadvantaged by the action.</w:t>
      </w:r>
    </w:p>
    <w:p w14:paraId="0A3555D9" w14:textId="77777777" w:rsidR="00583DBA" w:rsidRPr="00583DBA" w:rsidRDefault="00583DBA" w:rsidP="00583DBA">
      <w:pPr>
        <w:pStyle w:val="ListParagraph"/>
        <w:spacing w:after="0" w:line="276" w:lineRule="auto"/>
        <w:rPr>
          <w:rFonts w:ascii="Arial" w:hAnsi="Arial" w:cs="Arial"/>
        </w:rPr>
      </w:pPr>
    </w:p>
    <w:p w14:paraId="3B2B2346" w14:textId="77777777" w:rsidR="00583DBA" w:rsidRPr="00D371EE" w:rsidRDefault="00583DBA" w:rsidP="00583DBA">
      <w:pPr>
        <w:spacing w:line="240" w:lineRule="auto"/>
        <w:rPr>
          <w:rFonts w:ascii="Arial" w:hAnsi="Arial" w:cs="Arial"/>
          <w:b/>
          <w:i/>
        </w:rPr>
      </w:pPr>
      <w:r w:rsidRPr="00D371EE">
        <w:rPr>
          <w:rFonts w:ascii="Arial" w:hAnsi="Arial" w:cs="Arial"/>
          <w:b/>
          <w:i/>
        </w:rPr>
        <w:t>Loss of key staff</w:t>
      </w:r>
    </w:p>
    <w:p w14:paraId="00F50C2D" w14:textId="77777777" w:rsidR="00583DBA" w:rsidRPr="00313D62" w:rsidRDefault="00583DBA" w:rsidP="00583DBA">
      <w:pPr>
        <w:spacing w:line="240" w:lineRule="auto"/>
        <w:rPr>
          <w:rFonts w:ascii="Arial" w:hAnsi="Arial" w:cs="Arial"/>
        </w:rPr>
      </w:pPr>
      <w:r>
        <w:rPr>
          <w:rFonts w:ascii="Arial" w:hAnsi="Arial" w:cs="Arial"/>
        </w:rPr>
        <w:t xml:space="preserve">Where possible the College will </w:t>
      </w:r>
      <w:r w:rsidRPr="00313D62">
        <w:rPr>
          <w:rFonts w:ascii="Arial" w:hAnsi="Arial" w:cs="Arial"/>
        </w:rPr>
        <w:t>seek to fill gaps as quickly as possible, by moving other current members of staff with appropriate skills and experience, into the vacant post(s) or recruiting externally, to avoid disruption;</w:t>
      </w:r>
    </w:p>
    <w:p w14:paraId="53E0C25C" w14:textId="77777777" w:rsidR="00583DBA" w:rsidRPr="00313D62" w:rsidRDefault="00583DBA" w:rsidP="00583DBA">
      <w:pPr>
        <w:spacing w:line="240" w:lineRule="auto"/>
        <w:rPr>
          <w:rFonts w:ascii="Arial" w:hAnsi="Arial" w:cs="Arial"/>
        </w:rPr>
      </w:pPr>
      <w:r>
        <w:rPr>
          <w:rFonts w:ascii="Arial" w:hAnsi="Arial" w:cs="Arial"/>
        </w:rPr>
        <w:t>W</w:t>
      </w:r>
      <w:r w:rsidRPr="00313D62">
        <w:rPr>
          <w:rFonts w:ascii="Arial" w:hAnsi="Arial" w:cs="Arial"/>
        </w:rPr>
        <w:t xml:space="preserve">here the College cannot avoid closing a programme, the policy as outlined in the above course closure section will apply. </w:t>
      </w:r>
    </w:p>
    <w:p w14:paraId="708D1D1C" w14:textId="77777777" w:rsidR="00583DBA" w:rsidRPr="004A7A35" w:rsidRDefault="00583DBA" w:rsidP="00583DBA">
      <w:pPr>
        <w:spacing w:line="240" w:lineRule="auto"/>
        <w:rPr>
          <w:rFonts w:ascii="Arial" w:hAnsi="Arial" w:cs="Arial"/>
        </w:rPr>
      </w:pPr>
      <w:r w:rsidRPr="004A7A35">
        <w:rPr>
          <w:rFonts w:ascii="Arial" w:hAnsi="Arial" w:cs="Arial"/>
        </w:rPr>
        <w:t>Students wishing to provide feedback regarding the College’s management of the process of change can do this via the</w:t>
      </w:r>
      <w:r>
        <w:rPr>
          <w:rFonts w:ascii="Arial" w:hAnsi="Arial" w:cs="Arial"/>
        </w:rPr>
        <w:t xml:space="preserve"> C</w:t>
      </w:r>
      <w:r w:rsidRPr="004A7A35">
        <w:rPr>
          <w:rFonts w:ascii="Arial" w:hAnsi="Arial" w:cs="Arial"/>
        </w:rPr>
        <w:t xml:space="preserve">ollege website. </w:t>
      </w:r>
    </w:p>
    <w:p w14:paraId="70A2B0BB" w14:textId="77777777" w:rsidR="00583DBA" w:rsidRDefault="00583DBA" w:rsidP="00583DBA">
      <w:pPr>
        <w:spacing w:line="240" w:lineRule="auto"/>
        <w:rPr>
          <w:rFonts w:ascii="Arial" w:hAnsi="Arial" w:cs="Arial"/>
          <w:b/>
          <w:i/>
        </w:rPr>
      </w:pPr>
      <w:r w:rsidRPr="004A7A35">
        <w:rPr>
          <w:rFonts w:ascii="Arial" w:hAnsi="Arial" w:cs="Arial"/>
          <w:b/>
          <w:i/>
        </w:rPr>
        <w:t>Information about the policy in place to refund tuition fees and other relevant costs to students and to provide compensation where necessary in the event of no longer being able to preserve continuation of study</w:t>
      </w:r>
    </w:p>
    <w:p w14:paraId="2C62F5FD" w14:textId="78D25D34" w:rsidR="00583DBA" w:rsidRPr="00471071" w:rsidRDefault="00583DBA" w:rsidP="00583DBA">
      <w:pPr>
        <w:rPr>
          <w:rFonts w:ascii="Arial" w:hAnsi="Arial" w:cs="Arial"/>
          <w:iCs/>
        </w:rPr>
      </w:pPr>
      <w:r w:rsidRPr="00471071">
        <w:rPr>
          <w:rFonts w:ascii="Arial" w:hAnsi="Arial" w:cs="Arial"/>
          <w:iCs/>
        </w:rPr>
        <w:t>The College has a Student Refund Policy which can be found within our Student Fees and Fin</w:t>
      </w:r>
      <w:r>
        <w:rPr>
          <w:rFonts w:ascii="Arial" w:hAnsi="Arial" w:cs="Arial"/>
          <w:iCs/>
        </w:rPr>
        <w:t xml:space="preserve">ance Policy </w:t>
      </w:r>
      <w:r w:rsidR="00563165">
        <w:rPr>
          <w:rFonts w:ascii="Arial" w:hAnsi="Arial" w:cs="Arial"/>
          <w:iCs/>
        </w:rPr>
        <w:t>which is on the College website</w:t>
      </w:r>
      <w:r>
        <w:rPr>
          <w:rFonts w:ascii="Arial" w:hAnsi="Arial" w:cs="Arial"/>
          <w:iCs/>
        </w:rPr>
        <w:t xml:space="preserve">. It </w:t>
      </w:r>
      <w:r w:rsidRPr="00471071">
        <w:rPr>
          <w:rFonts w:ascii="Arial" w:hAnsi="Arial" w:cs="Arial"/>
          <w:iCs/>
        </w:rPr>
        <w:t>covers the arrangements for the following student refunds:-</w:t>
      </w:r>
    </w:p>
    <w:p w14:paraId="6B83AEB8" w14:textId="77777777" w:rsidR="00583DBA" w:rsidRPr="00471071" w:rsidRDefault="00583DBA" w:rsidP="00583DBA">
      <w:pPr>
        <w:pStyle w:val="RFbullet"/>
        <w:numPr>
          <w:ilvl w:val="0"/>
          <w:numId w:val="18"/>
        </w:numPr>
      </w:pPr>
      <w:r>
        <w:t>R</w:t>
      </w:r>
      <w:r w:rsidRPr="00471071">
        <w:t>efunds for students in receipt of tuitions fee loan from the Student Loans Company.</w:t>
      </w:r>
    </w:p>
    <w:p w14:paraId="35D2B172" w14:textId="77777777" w:rsidR="00583DBA" w:rsidRPr="00471071" w:rsidRDefault="00583DBA" w:rsidP="00583DBA">
      <w:pPr>
        <w:pStyle w:val="RFbullet"/>
        <w:numPr>
          <w:ilvl w:val="0"/>
          <w:numId w:val="18"/>
        </w:numPr>
        <w:spacing w:line="240" w:lineRule="auto"/>
        <w:rPr>
          <w:b/>
          <w:i/>
        </w:rPr>
      </w:pPr>
      <w:r>
        <w:t>R</w:t>
      </w:r>
      <w:r w:rsidRPr="00471071">
        <w:t>efunds for students who pay their own tuition fees.</w:t>
      </w:r>
    </w:p>
    <w:p w14:paraId="6EEE2BC4" w14:textId="77777777" w:rsidR="00583DBA" w:rsidRPr="00D52374" w:rsidRDefault="00583DBA" w:rsidP="00583DBA">
      <w:pPr>
        <w:pStyle w:val="RFbullet"/>
        <w:numPr>
          <w:ilvl w:val="0"/>
          <w:numId w:val="18"/>
        </w:numPr>
        <w:spacing w:line="240" w:lineRule="auto"/>
        <w:rPr>
          <w:b/>
          <w:i/>
        </w:rPr>
      </w:pPr>
      <w:r>
        <w:t>R</w:t>
      </w:r>
      <w:r w:rsidRPr="00471071">
        <w:t xml:space="preserve">efunds for students whose tuition fees are paid by a sponsor.  </w:t>
      </w:r>
    </w:p>
    <w:p w14:paraId="4211F7BD" w14:textId="77777777" w:rsidR="00583DBA" w:rsidRPr="009E0994" w:rsidRDefault="00583DBA" w:rsidP="00583DBA">
      <w:pPr>
        <w:spacing w:line="240" w:lineRule="auto"/>
        <w:rPr>
          <w:rFonts w:ascii="Arial" w:hAnsi="Arial" w:cs="Arial"/>
        </w:rPr>
      </w:pPr>
      <w:r w:rsidRPr="009E0994">
        <w:rPr>
          <w:rFonts w:ascii="Arial" w:hAnsi="Arial" w:cs="Arial"/>
        </w:rPr>
        <w:t xml:space="preserve">There are four categories </w:t>
      </w:r>
      <w:r>
        <w:rPr>
          <w:rFonts w:ascii="Arial" w:hAnsi="Arial" w:cs="Arial"/>
        </w:rPr>
        <w:t>covered by</w:t>
      </w:r>
      <w:r w:rsidRPr="009E0994">
        <w:rPr>
          <w:rFonts w:ascii="Arial" w:hAnsi="Arial" w:cs="Arial"/>
        </w:rPr>
        <w:t xml:space="preserve"> </w:t>
      </w:r>
      <w:r>
        <w:rPr>
          <w:rFonts w:ascii="Arial" w:hAnsi="Arial" w:cs="Arial"/>
        </w:rPr>
        <w:t xml:space="preserve">the </w:t>
      </w:r>
      <w:r w:rsidRPr="009E0994">
        <w:rPr>
          <w:rFonts w:ascii="Arial" w:hAnsi="Arial" w:cs="Arial"/>
        </w:rPr>
        <w:t>refunds</w:t>
      </w:r>
      <w:r>
        <w:rPr>
          <w:rFonts w:ascii="Arial" w:hAnsi="Arial" w:cs="Arial"/>
        </w:rPr>
        <w:t xml:space="preserve"> policy</w:t>
      </w:r>
      <w:r w:rsidRPr="009E0994">
        <w:rPr>
          <w:rFonts w:ascii="Arial" w:hAnsi="Arial" w:cs="Arial"/>
        </w:rPr>
        <w:t xml:space="preserve">: </w:t>
      </w:r>
    </w:p>
    <w:p w14:paraId="4659D91D" w14:textId="77777777" w:rsidR="00583DBA" w:rsidRPr="004A7A35" w:rsidRDefault="00583DBA" w:rsidP="00583DBA">
      <w:pPr>
        <w:pStyle w:val="ListParagraph"/>
        <w:numPr>
          <w:ilvl w:val="0"/>
          <w:numId w:val="16"/>
        </w:numPr>
        <w:spacing w:after="200" w:line="240" w:lineRule="auto"/>
        <w:rPr>
          <w:rFonts w:ascii="Arial" w:hAnsi="Arial" w:cs="Arial"/>
        </w:rPr>
      </w:pPr>
      <w:r w:rsidRPr="004A7A35">
        <w:rPr>
          <w:rFonts w:ascii="Arial" w:hAnsi="Arial" w:cs="Arial"/>
        </w:rPr>
        <w:t xml:space="preserve"> Cancellation of a course before it commences:</w:t>
      </w:r>
    </w:p>
    <w:p w14:paraId="7FEB0400" w14:textId="77777777" w:rsidR="00583DBA" w:rsidRPr="004A7A35" w:rsidRDefault="00583DBA" w:rsidP="00583DBA">
      <w:pPr>
        <w:rPr>
          <w:rFonts w:ascii="Arial" w:hAnsi="Arial" w:cs="Arial"/>
        </w:rPr>
      </w:pPr>
      <w:r w:rsidRPr="004A7A35">
        <w:rPr>
          <w:rFonts w:ascii="Arial" w:hAnsi="Arial" w:cs="Arial"/>
        </w:rPr>
        <w:t>Sometimes we can only run an advertised course if certain conditions are fulfilled – for example, that sufficient students accept offers to make the course financially viable to run. If we cancel a course before the commencement of the programme, we will inform the students affected as soon as reasonably practicable and we will refund any tuition fees or deposit paid in advance.  Where practical, we will also try to find a suitable alternative course with us or offer the opportunity to defer entry to a subsequent intake.</w:t>
      </w:r>
    </w:p>
    <w:p w14:paraId="7605655D" w14:textId="77777777" w:rsidR="00583DBA" w:rsidRPr="004A7A35" w:rsidRDefault="00583DBA" w:rsidP="00583DBA">
      <w:pPr>
        <w:pStyle w:val="ListParagraph"/>
        <w:numPr>
          <w:ilvl w:val="0"/>
          <w:numId w:val="16"/>
        </w:numPr>
        <w:spacing w:after="200" w:line="276" w:lineRule="auto"/>
        <w:rPr>
          <w:rFonts w:ascii="Arial" w:hAnsi="Arial" w:cs="Arial"/>
        </w:rPr>
      </w:pPr>
      <w:r w:rsidRPr="004A7A35">
        <w:rPr>
          <w:rFonts w:ascii="Arial" w:hAnsi="Arial" w:cs="Arial"/>
        </w:rPr>
        <w:t>Changes to a course before a student is enrolled:</w:t>
      </w:r>
    </w:p>
    <w:p w14:paraId="480E9A3E" w14:textId="77777777" w:rsidR="00583DBA" w:rsidRDefault="00583DBA" w:rsidP="00583DBA">
      <w:pPr>
        <w:rPr>
          <w:rFonts w:ascii="Arial" w:hAnsi="Arial" w:cs="Arial"/>
          <w:iCs/>
        </w:rPr>
      </w:pPr>
      <w:r w:rsidRPr="004A7A35">
        <w:rPr>
          <w:rFonts w:ascii="Arial" w:hAnsi="Arial" w:cs="Arial"/>
          <w:iCs/>
        </w:rPr>
        <w:t xml:space="preserve">If we decide to make a change before </w:t>
      </w:r>
      <w:r>
        <w:rPr>
          <w:rFonts w:ascii="Arial" w:hAnsi="Arial" w:cs="Arial"/>
          <w:iCs/>
        </w:rPr>
        <w:t>students</w:t>
      </w:r>
      <w:r w:rsidRPr="004A7A35">
        <w:rPr>
          <w:rFonts w:ascii="Arial" w:hAnsi="Arial" w:cs="Arial"/>
          <w:iCs/>
        </w:rPr>
        <w:t xml:space="preserve"> have registered on the course for the first time, we will inform </w:t>
      </w:r>
      <w:r>
        <w:rPr>
          <w:rFonts w:ascii="Arial" w:hAnsi="Arial" w:cs="Arial"/>
          <w:iCs/>
        </w:rPr>
        <w:t>them</w:t>
      </w:r>
      <w:r w:rsidRPr="004A7A35">
        <w:rPr>
          <w:rFonts w:ascii="Arial" w:hAnsi="Arial" w:cs="Arial"/>
          <w:iCs/>
        </w:rPr>
        <w:t xml:space="preserve"> as soon as reasonably practicable so that </w:t>
      </w:r>
      <w:r>
        <w:rPr>
          <w:rFonts w:ascii="Arial" w:hAnsi="Arial" w:cs="Arial"/>
          <w:iCs/>
        </w:rPr>
        <w:t>they</w:t>
      </w:r>
      <w:r w:rsidRPr="004A7A35">
        <w:rPr>
          <w:rFonts w:ascii="Arial" w:hAnsi="Arial" w:cs="Arial"/>
          <w:iCs/>
        </w:rPr>
        <w:t xml:space="preserve"> can decide whether </w:t>
      </w:r>
      <w:r>
        <w:rPr>
          <w:rFonts w:ascii="Arial" w:hAnsi="Arial" w:cs="Arial"/>
          <w:iCs/>
        </w:rPr>
        <w:t>they</w:t>
      </w:r>
      <w:r w:rsidRPr="004A7A35">
        <w:rPr>
          <w:rFonts w:ascii="Arial" w:hAnsi="Arial" w:cs="Arial"/>
          <w:iCs/>
        </w:rPr>
        <w:t xml:space="preserve"> still wish to study with us.  If the</w:t>
      </w:r>
      <w:r>
        <w:rPr>
          <w:rFonts w:ascii="Arial" w:hAnsi="Arial" w:cs="Arial"/>
          <w:iCs/>
        </w:rPr>
        <w:t>y</w:t>
      </w:r>
      <w:r w:rsidRPr="004A7A35">
        <w:rPr>
          <w:rFonts w:ascii="Arial" w:hAnsi="Arial" w:cs="Arial"/>
          <w:iCs/>
        </w:rPr>
        <w:t xml:space="preserve"> decide not to study with us, we will refund any tuition fees and/or deposit that have</w:t>
      </w:r>
      <w:r>
        <w:rPr>
          <w:rFonts w:ascii="Arial" w:hAnsi="Arial" w:cs="Arial"/>
          <w:iCs/>
        </w:rPr>
        <w:t xml:space="preserve"> been</w:t>
      </w:r>
      <w:r w:rsidRPr="004A7A35">
        <w:rPr>
          <w:rFonts w:ascii="Arial" w:hAnsi="Arial" w:cs="Arial"/>
          <w:iCs/>
        </w:rPr>
        <w:t xml:space="preserve"> paid in advance in respect of the course in question.  </w:t>
      </w:r>
    </w:p>
    <w:p w14:paraId="7340274B" w14:textId="77777777" w:rsidR="00583DBA" w:rsidRPr="004A7A35" w:rsidRDefault="00583DBA" w:rsidP="00583DBA">
      <w:pPr>
        <w:spacing w:after="0" w:line="240" w:lineRule="auto"/>
        <w:rPr>
          <w:rFonts w:ascii="Arial" w:hAnsi="Arial" w:cs="Arial"/>
          <w:iCs/>
        </w:rPr>
      </w:pPr>
      <w:r>
        <w:rPr>
          <w:rFonts w:ascii="Arial" w:hAnsi="Arial" w:cs="Arial"/>
          <w:iCs/>
        </w:rPr>
        <w:br w:type="page"/>
      </w:r>
    </w:p>
    <w:p w14:paraId="7F30623A" w14:textId="77777777" w:rsidR="00583DBA" w:rsidRPr="004A7A35" w:rsidRDefault="00583DBA" w:rsidP="00583DBA">
      <w:pPr>
        <w:pStyle w:val="ListParagraph"/>
        <w:numPr>
          <w:ilvl w:val="0"/>
          <w:numId w:val="16"/>
        </w:numPr>
        <w:spacing w:after="200" w:line="276" w:lineRule="auto"/>
        <w:rPr>
          <w:rFonts w:ascii="Arial" w:hAnsi="Arial" w:cs="Arial"/>
        </w:rPr>
      </w:pPr>
      <w:r w:rsidRPr="004A7A35">
        <w:rPr>
          <w:rFonts w:ascii="Arial" w:hAnsi="Arial" w:cs="Arial"/>
        </w:rPr>
        <w:t xml:space="preserve">Discontinuance of a course: </w:t>
      </w:r>
    </w:p>
    <w:p w14:paraId="7E35402E" w14:textId="77777777" w:rsidR="00583DBA" w:rsidRPr="004A7A35" w:rsidRDefault="00583DBA" w:rsidP="00583DBA">
      <w:pPr>
        <w:rPr>
          <w:rFonts w:ascii="Arial" w:hAnsi="Arial" w:cs="Arial"/>
        </w:rPr>
      </w:pPr>
      <w:r w:rsidRPr="004A7A35">
        <w:rPr>
          <w:rFonts w:ascii="Arial" w:hAnsi="Arial" w:cs="Arial"/>
        </w:rPr>
        <w:t>In exceptional circumstances, we may have to merge or even discontinue a course for one or more of the following reasons:</w:t>
      </w:r>
    </w:p>
    <w:p w14:paraId="5BEC2151" w14:textId="77777777" w:rsidR="00583DBA" w:rsidRPr="004A7A35" w:rsidRDefault="00583DBA" w:rsidP="00583DBA">
      <w:pPr>
        <w:pStyle w:val="Default"/>
        <w:numPr>
          <w:ilvl w:val="0"/>
          <w:numId w:val="7"/>
        </w:numPr>
        <w:spacing w:line="276" w:lineRule="auto"/>
        <w:rPr>
          <w:sz w:val="22"/>
          <w:szCs w:val="22"/>
        </w:rPr>
      </w:pPr>
      <w:r w:rsidRPr="004A7A35">
        <w:rPr>
          <w:sz w:val="22"/>
          <w:szCs w:val="22"/>
        </w:rPr>
        <w:t>to comply with legal, regulatory or governmental requirements</w:t>
      </w:r>
    </w:p>
    <w:p w14:paraId="0CC6FCF7" w14:textId="77777777" w:rsidR="00583DBA" w:rsidRPr="004A7A35" w:rsidRDefault="00583DBA" w:rsidP="00583DBA">
      <w:pPr>
        <w:pStyle w:val="Default"/>
        <w:numPr>
          <w:ilvl w:val="0"/>
          <w:numId w:val="7"/>
        </w:numPr>
        <w:spacing w:line="276" w:lineRule="auto"/>
        <w:rPr>
          <w:sz w:val="22"/>
          <w:szCs w:val="22"/>
        </w:rPr>
      </w:pPr>
      <w:r w:rsidRPr="004A7A35">
        <w:rPr>
          <w:sz w:val="22"/>
          <w:szCs w:val="22"/>
        </w:rPr>
        <w:t>where accreditation or validation of the course is withdrawn</w:t>
      </w:r>
    </w:p>
    <w:p w14:paraId="48E34FB8" w14:textId="77777777" w:rsidR="00583DBA" w:rsidRPr="004A7A35" w:rsidRDefault="00583DBA" w:rsidP="00583DBA">
      <w:pPr>
        <w:pStyle w:val="Default"/>
        <w:numPr>
          <w:ilvl w:val="0"/>
          <w:numId w:val="7"/>
        </w:numPr>
        <w:spacing w:line="276" w:lineRule="auto"/>
        <w:rPr>
          <w:sz w:val="22"/>
          <w:szCs w:val="22"/>
        </w:rPr>
      </w:pPr>
      <w:r w:rsidRPr="004A7A35">
        <w:rPr>
          <w:sz w:val="22"/>
          <w:szCs w:val="22"/>
        </w:rPr>
        <w:t xml:space="preserve">in other circumstances outside our reasonable control which make it impossible or prohibitively impractical to continue the course </w:t>
      </w:r>
    </w:p>
    <w:p w14:paraId="53762454" w14:textId="77777777" w:rsidR="00583DBA" w:rsidRPr="004A7A35" w:rsidRDefault="00583DBA" w:rsidP="00583DBA">
      <w:pPr>
        <w:pStyle w:val="Default"/>
        <w:spacing w:line="276" w:lineRule="auto"/>
        <w:rPr>
          <w:sz w:val="22"/>
          <w:szCs w:val="22"/>
        </w:rPr>
      </w:pPr>
      <w:r w:rsidRPr="004A7A35">
        <w:rPr>
          <w:sz w:val="22"/>
          <w:szCs w:val="22"/>
        </w:rPr>
        <w:tab/>
      </w:r>
    </w:p>
    <w:p w14:paraId="765C863A" w14:textId="77777777" w:rsidR="00583DBA" w:rsidRPr="004A7A35" w:rsidRDefault="00583DBA" w:rsidP="00583DBA">
      <w:pPr>
        <w:pStyle w:val="Default"/>
        <w:spacing w:line="276" w:lineRule="auto"/>
        <w:rPr>
          <w:sz w:val="22"/>
          <w:szCs w:val="22"/>
        </w:rPr>
      </w:pPr>
      <w:r w:rsidRPr="004A7A35">
        <w:rPr>
          <w:sz w:val="22"/>
          <w:szCs w:val="22"/>
        </w:rPr>
        <w:t xml:space="preserve">If we decide to merge or discontinue </w:t>
      </w:r>
      <w:r>
        <w:rPr>
          <w:sz w:val="22"/>
          <w:szCs w:val="22"/>
        </w:rPr>
        <w:t>a</w:t>
      </w:r>
      <w:r w:rsidRPr="004A7A35">
        <w:rPr>
          <w:sz w:val="22"/>
          <w:szCs w:val="22"/>
        </w:rPr>
        <w:t xml:space="preserve"> course in these circumstances, we will inform </w:t>
      </w:r>
      <w:r>
        <w:rPr>
          <w:sz w:val="22"/>
          <w:szCs w:val="22"/>
        </w:rPr>
        <w:t>the students</w:t>
      </w:r>
      <w:r w:rsidRPr="004A7A35">
        <w:rPr>
          <w:sz w:val="22"/>
          <w:szCs w:val="22"/>
        </w:rPr>
        <w:t xml:space="preserve"> as soon as reasonably practicable. Where appropriate, we will try to find a suitable alternative course with us or suggest a suitable alternative course with another education provider.  If the students do transfer to another education provider in these circumstances, we will </w:t>
      </w:r>
      <w:r>
        <w:rPr>
          <w:sz w:val="22"/>
          <w:szCs w:val="22"/>
        </w:rPr>
        <w:t xml:space="preserve">co-operate with the </w:t>
      </w:r>
      <w:r w:rsidRPr="004A7A35">
        <w:rPr>
          <w:sz w:val="22"/>
          <w:szCs w:val="22"/>
        </w:rPr>
        <w:t>new provider in respect of any transfer of credit/ academic progress.  We will pay any additional travel expenses incurred for the remainder of the programme.</w:t>
      </w:r>
      <w:r>
        <w:rPr>
          <w:sz w:val="22"/>
          <w:szCs w:val="22"/>
        </w:rPr>
        <w:t xml:space="preserve"> </w:t>
      </w:r>
    </w:p>
    <w:p w14:paraId="5696457F" w14:textId="77777777" w:rsidR="00583DBA" w:rsidRPr="004A7A35" w:rsidRDefault="00583DBA" w:rsidP="00583DBA">
      <w:pPr>
        <w:pStyle w:val="Default"/>
        <w:spacing w:line="276" w:lineRule="auto"/>
        <w:rPr>
          <w:i/>
          <w:iCs/>
          <w:sz w:val="22"/>
          <w:szCs w:val="22"/>
        </w:rPr>
      </w:pPr>
    </w:p>
    <w:p w14:paraId="5DF4FEAA" w14:textId="0286404C" w:rsidR="00583DBA" w:rsidRDefault="00583DBA" w:rsidP="00583DBA">
      <w:pPr>
        <w:rPr>
          <w:rFonts w:ascii="Arial" w:hAnsi="Arial" w:cs="Arial"/>
          <w:iCs/>
        </w:rPr>
      </w:pPr>
      <w:r w:rsidRPr="004A7A35">
        <w:rPr>
          <w:rFonts w:ascii="Arial" w:hAnsi="Arial" w:cs="Arial"/>
          <w:iCs/>
        </w:rPr>
        <w:t xml:space="preserve">If a student does not want to transfer to an alternative course either with us or with another provider, we will keep a record of their credit/academic progress in case </w:t>
      </w:r>
      <w:r>
        <w:rPr>
          <w:rFonts w:ascii="Arial" w:hAnsi="Arial" w:cs="Arial"/>
          <w:iCs/>
        </w:rPr>
        <w:t>they</w:t>
      </w:r>
      <w:r w:rsidRPr="004A7A35">
        <w:rPr>
          <w:rFonts w:ascii="Arial" w:hAnsi="Arial" w:cs="Arial"/>
          <w:iCs/>
        </w:rPr>
        <w:t xml:space="preserve"> return to higher education in the future.  </w:t>
      </w:r>
    </w:p>
    <w:p w14:paraId="735D6505" w14:textId="60F9779B" w:rsidR="00214192" w:rsidRDefault="00214192" w:rsidP="00583DBA">
      <w:pPr>
        <w:rPr>
          <w:rFonts w:ascii="Arial" w:hAnsi="Arial" w:cs="Arial"/>
          <w:iCs/>
        </w:rPr>
      </w:pPr>
    </w:p>
    <w:p w14:paraId="5D6E652D" w14:textId="6F2C5074" w:rsidR="00214192" w:rsidRDefault="00214192" w:rsidP="00583DBA">
      <w:pPr>
        <w:rPr>
          <w:rFonts w:ascii="Arial" w:hAnsi="Arial" w:cs="Arial"/>
          <w:iCs/>
        </w:rPr>
      </w:pPr>
    </w:p>
    <w:p w14:paraId="12175B91" w14:textId="25209308" w:rsidR="00214192" w:rsidRDefault="00214192" w:rsidP="00583DBA">
      <w:pPr>
        <w:rPr>
          <w:rFonts w:ascii="Arial" w:hAnsi="Arial" w:cs="Arial"/>
          <w:iCs/>
        </w:rPr>
      </w:pPr>
    </w:p>
    <w:p w14:paraId="6DB56D13" w14:textId="64266391" w:rsidR="00214192" w:rsidRDefault="00214192" w:rsidP="00583DBA">
      <w:pPr>
        <w:rPr>
          <w:rFonts w:ascii="Arial" w:hAnsi="Arial" w:cs="Arial"/>
          <w:iCs/>
        </w:rPr>
      </w:pPr>
    </w:p>
    <w:p w14:paraId="2FC6A0A5" w14:textId="720DB427" w:rsidR="00214192" w:rsidRDefault="00214192" w:rsidP="00583DBA">
      <w:pPr>
        <w:rPr>
          <w:rFonts w:ascii="Arial" w:hAnsi="Arial" w:cs="Arial"/>
          <w:iCs/>
        </w:rPr>
      </w:pPr>
    </w:p>
    <w:p w14:paraId="12C530AF" w14:textId="31E96E6F" w:rsidR="00214192" w:rsidRDefault="00214192" w:rsidP="00583DBA">
      <w:pPr>
        <w:rPr>
          <w:rFonts w:ascii="Arial" w:hAnsi="Arial" w:cs="Arial"/>
          <w:iCs/>
        </w:rPr>
      </w:pPr>
    </w:p>
    <w:p w14:paraId="633E6F64" w14:textId="6D442BB6" w:rsidR="00214192" w:rsidRDefault="00214192" w:rsidP="00583DBA">
      <w:pPr>
        <w:rPr>
          <w:rFonts w:ascii="Arial" w:hAnsi="Arial" w:cs="Arial"/>
          <w:iCs/>
        </w:rPr>
      </w:pPr>
    </w:p>
    <w:p w14:paraId="6B4DE3E5" w14:textId="262CAEEC" w:rsidR="00214192" w:rsidRDefault="00214192" w:rsidP="00583DBA">
      <w:pPr>
        <w:rPr>
          <w:rFonts w:ascii="Arial" w:hAnsi="Arial" w:cs="Arial"/>
          <w:iCs/>
        </w:rPr>
      </w:pPr>
    </w:p>
    <w:p w14:paraId="1B3F4869" w14:textId="65C9B238" w:rsidR="00214192" w:rsidRDefault="00214192" w:rsidP="00583DBA">
      <w:pPr>
        <w:rPr>
          <w:rFonts w:ascii="Arial" w:hAnsi="Arial" w:cs="Arial"/>
          <w:iCs/>
        </w:rPr>
      </w:pPr>
    </w:p>
    <w:p w14:paraId="05C6F287" w14:textId="3C52D2E6" w:rsidR="00214192" w:rsidRDefault="00214192" w:rsidP="00583DBA">
      <w:pPr>
        <w:rPr>
          <w:rFonts w:ascii="Arial" w:hAnsi="Arial" w:cs="Arial"/>
          <w:iCs/>
        </w:rPr>
      </w:pPr>
    </w:p>
    <w:p w14:paraId="5071A1B0" w14:textId="3254B880" w:rsidR="00214192" w:rsidRDefault="00214192" w:rsidP="00583DBA">
      <w:pPr>
        <w:rPr>
          <w:rFonts w:ascii="Arial" w:hAnsi="Arial" w:cs="Arial"/>
          <w:iCs/>
        </w:rPr>
      </w:pPr>
    </w:p>
    <w:p w14:paraId="7736DEFD" w14:textId="0F157D9C" w:rsidR="00214192" w:rsidRDefault="00214192" w:rsidP="00583DBA">
      <w:pPr>
        <w:rPr>
          <w:rFonts w:ascii="Arial" w:hAnsi="Arial" w:cs="Arial"/>
          <w:iCs/>
        </w:rPr>
      </w:pPr>
    </w:p>
    <w:p w14:paraId="46807A27" w14:textId="49DAF1A6" w:rsidR="00214192" w:rsidRDefault="00214192" w:rsidP="00583DBA">
      <w:pPr>
        <w:rPr>
          <w:rFonts w:ascii="Arial" w:hAnsi="Arial" w:cs="Arial"/>
          <w:iCs/>
        </w:rPr>
      </w:pPr>
    </w:p>
    <w:p w14:paraId="6F755215" w14:textId="02DAD53C" w:rsidR="00214192" w:rsidRDefault="00214192" w:rsidP="00583DBA">
      <w:pPr>
        <w:rPr>
          <w:rFonts w:ascii="Arial" w:hAnsi="Arial" w:cs="Arial"/>
          <w:iCs/>
        </w:rPr>
      </w:pPr>
    </w:p>
    <w:p w14:paraId="1ADA9E52" w14:textId="77777777" w:rsidR="00583DBA" w:rsidRDefault="00583DBA" w:rsidP="00583DBA">
      <w:pPr>
        <w:rPr>
          <w:rFonts w:ascii="Arial" w:hAnsi="Arial" w:cs="Arial"/>
          <w:iCs/>
        </w:rPr>
      </w:pPr>
      <w:r w:rsidRPr="004A7A35">
        <w:rPr>
          <w:rFonts w:ascii="Arial" w:hAnsi="Arial" w:cs="Arial"/>
          <w:iCs/>
        </w:rPr>
        <w:t xml:space="preserve">Below is a summary of the refunds available to students prior to or at the point of commencing their studies. </w:t>
      </w:r>
    </w:p>
    <w:p w14:paraId="3954805D" w14:textId="77777777" w:rsidR="00583DBA" w:rsidRPr="004A7A35" w:rsidRDefault="00583DBA" w:rsidP="00583DBA">
      <w:pPr>
        <w:tabs>
          <w:tab w:val="left" w:pos="-3510"/>
        </w:tabs>
        <w:spacing w:after="0" w:line="240" w:lineRule="auto"/>
        <w:contextualSpacing/>
        <w:jc w:val="center"/>
        <w:rPr>
          <w:rFonts w:ascii="Arial" w:eastAsia="Times New Roman" w:hAnsi="Arial" w:cs="Arial"/>
          <w:b/>
          <w:color w:val="2F5496" w:themeColor="accent5" w:themeShade="BF"/>
          <w:lang w:eastAsia="en-GB"/>
        </w:rPr>
      </w:pPr>
      <w:r w:rsidRPr="00D371EE">
        <w:rPr>
          <w:rFonts w:ascii="Arial" w:eastAsia="Times New Roman" w:hAnsi="Arial" w:cs="Arial"/>
          <w:b/>
          <w:color w:val="8496B0" w:themeColor="text2" w:themeTint="99"/>
          <w:lang w:eastAsia="en-GB"/>
        </w:rPr>
        <w:t>Refunds and/or adjustment will be made as follows</w:t>
      </w:r>
      <w:r w:rsidRPr="004A7A35">
        <w:rPr>
          <w:rFonts w:ascii="Arial" w:eastAsia="Times New Roman" w:hAnsi="Arial" w:cs="Arial"/>
          <w:b/>
          <w:color w:val="2F5496" w:themeColor="accent5" w:themeShade="BF"/>
          <w:lang w:eastAsia="en-GB"/>
        </w:rPr>
        <w:t>:</w:t>
      </w:r>
    </w:p>
    <w:p w14:paraId="79CD43DA" w14:textId="77777777" w:rsidR="00583DBA" w:rsidRPr="004A7A35" w:rsidRDefault="00583DBA" w:rsidP="00583DBA">
      <w:pPr>
        <w:spacing w:after="0" w:line="240" w:lineRule="auto"/>
        <w:ind w:left="720"/>
        <w:contextualSpacing/>
        <w:jc w:val="both"/>
        <w:rPr>
          <w:rFonts w:ascii="Arial" w:eastAsia="Times New Roman" w:hAnsi="Arial" w:cs="Arial"/>
          <w:lang w:eastAsia="en-GB"/>
        </w:rPr>
      </w:pPr>
    </w:p>
    <w:tbl>
      <w:tblPr>
        <w:tblStyle w:val="TableGrid"/>
        <w:tblW w:w="9630" w:type="dxa"/>
        <w:tblInd w:w="-252"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3240"/>
        <w:gridCol w:w="2610"/>
        <w:gridCol w:w="3780"/>
      </w:tblGrid>
      <w:tr w:rsidR="00583DBA" w:rsidRPr="00214192" w14:paraId="1D726CCE" w14:textId="77777777" w:rsidTr="00822F7C">
        <w:trPr>
          <w:trHeight w:val="432"/>
        </w:trPr>
        <w:tc>
          <w:tcPr>
            <w:tcW w:w="3240" w:type="dxa"/>
            <w:shd w:val="clear" w:color="auto" w:fill="B4C6E7" w:themeFill="accent5" w:themeFillTint="66"/>
            <w:vAlign w:val="center"/>
          </w:tcPr>
          <w:p w14:paraId="52B0FAC1" w14:textId="77777777" w:rsidR="00583DBA" w:rsidRPr="00214192" w:rsidRDefault="00583DBA" w:rsidP="00822F7C">
            <w:pPr>
              <w:ind w:right="-108"/>
              <w:contextualSpacing/>
              <w:jc w:val="center"/>
              <w:rPr>
                <w:rFonts w:ascii="Arial" w:hAnsi="Arial" w:cs="Arial"/>
                <w:b/>
                <w:sz w:val="20"/>
                <w:szCs w:val="20"/>
              </w:rPr>
            </w:pPr>
            <w:r w:rsidRPr="00214192">
              <w:rPr>
                <w:rFonts w:ascii="Arial" w:hAnsi="Arial" w:cs="Arial"/>
                <w:b/>
                <w:sz w:val="20"/>
                <w:szCs w:val="20"/>
              </w:rPr>
              <w:t>When</w:t>
            </w:r>
          </w:p>
        </w:tc>
        <w:tc>
          <w:tcPr>
            <w:tcW w:w="2610" w:type="dxa"/>
            <w:shd w:val="clear" w:color="auto" w:fill="B4C6E7" w:themeFill="accent5" w:themeFillTint="66"/>
            <w:vAlign w:val="center"/>
          </w:tcPr>
          <w:p w14:paraId="6A90A1FE" w14:textId="77777777" w:rsidR="00583DBA" w:rsidRPr="00214192" w:rsidRDefault="00583DBA" w:rsidP="00822F7C">
            <w:pPr>
              <w:ind w:right="-18"/>
              <w:contextualSpacing/>
              <w:jc w:val="center"/>
              <w:rPr>
                <w:rFonts w:ascii="Arial" w:hAnsi="Arial" w:cs="Arial"/>
                <w:b/>
                <w:sz w:val="20"/>
                <w:szCs w:val="20"/>
              </w:rPr>
            </w:pPr>
            <w:r w:rsidRPr="00214192">
              <w:rPr>
                <w:rFonts w:ascii="Arial" w:hAnsi="Arial" w:cs="Arial"/>
                <w:b/>
                <w:sz w:val="20"/>
                <w:szCs w:val="20"/>
              </w:rPr>
              <w:t>Refund/Adjustment of</w:t>
            </w:r>
          </w:p>
        </w:tc>
        <w:tc>
          <w:tcPr>
            <w:tcW w:w="3780" w:type="dxa"/>
            <w:shd w:val="clear" w:color="auto" w:fill="B4C6E7" w:themeFill="accent5" w:themeFillTint="66"/>
            <w:vAlign w:val="center"/>
          </w:tcPr>
          <w:p w14:paraId="49A36BFC" w14:textId="77777777" w:rsidR="00583DBA" w:rsidRPr="00214192" w:rsidRDefault="00583DBA" w:rsidP="00822F7C">
            <w:pPr>
              <w:ind w:right="-18"/>
              <w:contextualSpacing/>
              <w:jc w:val="center"/>
              <w:rPr>
                <w:rFonts w:ascii="Arial" w:hAnsi="Arial" w:cs="Arial"/>
                <w:b/>
                <w:sz w:val="20"/>
                <w:szCs w:val="20"/>
              </w:rPr>
            </w:pPr>
            <w:r w:rsidRPr="00214192">
              <w:rPr>
                <w:rFonts w:ascii="Arial" w:hAnsi="Arial" w:cs="Arial"/>
                <w:b/>
                <w:sz w:val="20"/>
                <w:szCs w:val="20"/>
              </w:rPr>
              <w:t>Application Required</w:t>
            </w:r>
          </w:p>
        </w:tc>
      </w:tr>
      <w:tr w:rsidR="00583DBA" w:rsidRPr="00214192" w14:paraId="13A47DCA" w14:textId="77777777" w:rsidTr="00822F7C">
        <w:tc>
          <w:tcPr>
            <w:tcW w:w="3240" w:type="dxa"/>
          </w:tcPr>
          <w:p w14:paraId="49C4CE89" w14:textId="77777777" w:rsidR="00583DBA" w:rsidRPr="00214192" w:rsidRDefault="00583DBA" w:rsidP="00583DBA">
            <w:pPr>
              <w:numPr>
                <w:ilvl w:val="0"/>
                <w:numId w:val="17"/>
              </w:numPr>
              <w:spacing w:after="0" w:line="240" w:lineRule="auto"/>
              <w:ind w:left="0" w:right="-108"/>
              <w:contextualSpacing/>
              <w:rPr>
                <w:rFonts w:ascii="Arial" w:hAnsi="Arial" w:cs="Arial"/>
                <w:sz w:val="20"/>
                <w:szCs w:val="20"/>
              </w:rPr>
            </w:pPr>
            <w:r w:rsidRPr="00214192">
              <w:rPr>
                <w:rFonts w:ascii="Arial" w:hAnsi="Arial" w:cs="Arial"/>
                <w:sz w:val="20"/>
                <w:szCs w:val="20"/>
              </w:rPr>
              <w:t xml:space="preserve">Course is discontinued </w:t>
            </w:r>
          </w:p>
        </w:tc>
        <w:tc>
          <w:tcPr>
            <w:tcW w:w="2610" w:type="dxa"/>
          </w:tcPr>
          <w:p w14:paraId="1E344459"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All fees and compensation for any additional expenses occurred if travelling to another provider (see below)</w:t>
            </w:r>
          </w:p>
          <w:p w14:paraId="562ED75B" w14:textId="77777777" w:rsidR="00583DBA" w:rsidRPr="00214192" w:rsidRDefault="00583DBA" w:rsidP="00822F7C">
            <w:pPr>
              <w:ind w:right="-18"/>
              <w:contextualSpacing/>
              <w:rPr>
                <w:rFonts w:ascii="Arial" w:hAnsi="Arial" w:cs="Arial"/>
                <w:sz w:val="20"/>
                <w:szCs w:val="20"/>
              </w:rPr>
            </w:pPr>
          </w:p>
        </w:tc>
        <w:tc>
          <w:tcPr>
            <w:tcW w:w="3780" w:type="dxa"/>
          </w:tcPr>
          <w:p w14:paraId="5E08B3C5" w14:textId="77777777" w:rsidR="00583DBA" w:rsidRPr="00214192" w:rsidRDefault="00583DBA" w:rsidP="00822F7C">
            <w:pPr>
              <w:ind w:right="-18"/>
              <w:contextualSpacing/>
              <w:rPr>
                <w:rFonts w:ascii="Arial" w:hAnsi="Arial" w:cs="Arial"/>
                <w:b/>
                <w:sz w:val="20"/>
                <w:szCs w:val="20"/>
              </w:rPr>
            </w:pPr>
            <w:r w:rsidRPr="00214192">
              <w:rPr>
                <w:rFonts w:ascii="Arial" w:hAnsi="Arial" w:cs="Arial"/>
                <w:b/>
                <w:sz w:val="20"/>
                <w:szCs w:val="20"/>
              </w:rPr>
              <w:t>NO</w:t>
            </w:r>
          </w:p>
          <w:p w14:paraId="0EE5741F"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In this situation we do not expect an application to be made. We will ensure full fees are refunded back to debit/credit card or a cheque is posted</w:t>
            </w:r>
          </w:p>
        </w:tc>
      </w:tr>
      <w:tr w:rsidR="00583DBA" w:rsidRPr="00214192" w14:paraId="1351A469" w14:textId="77777777" w:rsidTr="00822F7C">
        <w:tc>
          <w:tcPr>
            <w:tcW w:w="3240" w:type="dxa"/>
          </w:tcPr>
          <w:p w14:paraId="287A6E86" w14:textId="77777777" w:rsidR="00583DBA" w:rsidRPr="00214192" w:rsidRDefault="00583DBA" w:rsidP="00583DBA">
            <w:pPr>
              <w:numPr>
                <w:ilvl w:val="0"/>
                <w:numId w:val="17"/>
              </w:numPr>
              <w:spacing w:after="0" w:line="240" w:lineRule="auto"/>
              <w:ind w:left="0" w:right="-108"/>
              <w:contextualSpacing/>
              <w:rPr>
                <w:rFonts w:ascii="Arial" w:hAnsi="Arial" w:cs="Arial"/>
                <w:sz w:val="20"/>
                <w:szCs w:val="20"/>
              </w:rPr>
            </w:pPr>
            <w:r w:rsidRPr="00214192">
              <w:rPr>
                <w:rFonts w:ascii="Arial" w:hAnsi="Arial" w:cs="Arial"/>
                <w:sz w:val="20"/>
                <w:szCs w:val="20"/>
              </w:rPr>
              <w:t>Student withdraws more than 7 days before the start of the course</w:t>
            </w:r>
          </w:p>
        </w:tc>
        <w:tc>
          <w:tcPr>
            <w:tcW w:w="2610" w:type="dxa"/>
          </w:tcPr>
          <w:p w14:paraId="7BEED0BC"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All Fees</w:t>
            </w:r>
          </w:p>
          <w:p w14:paraId="13CAB622" w14:textId="77777777" w:rsidR="00583DBA" w:rsidRPr="00214192" w:rsidRDefault="00583DBA" w:rsidP="00822F7C">
            <w:pPr>
              <w:ind w:right="-18"/>
              <w:contextualSpacing/>
              <w:rPr>
                <w:rFonts w:ascii="Arial" w:hAnsi="Arial" w:cs="Arial"/>
                <w:b/>
                <w:sz w:val="20"/>
                <w:szCs w:val="20"/>
              </w:rPr>
            </w:pPr>
          </w:p>
        </w:tc>
        <w:tc>
          <w:tcPr>
            <w:tcW w:w="3780" w:type="dxa"/>
          </w:tcPr>
          <w:p w14:paraId="62B9F750" w14:textId="77777777" w:rsidR="00583DBA" w:rsidRPr="00214192" w:rsidRDefault="00583DBA" w:rsidP="00822F7C">
            <w:pPr>
              <w:ind w:right="-18"/>
              <w:contextualSpacing/>
              <w:rPr>
                <w:rFonts w:ascii="Arial" w:hAnsi="Arial" w:cs="Arial"/>
                <w:b/>
                <w:sz w:val="20"/>
                <w:szCs w:val="20"/>
              </w:rPr>
            </w:pPr>
            <w:r w:rsidRPr="00214192">
              <w:rPr>
                <w:rFonts w:ascii="Arial" w:hAnsi="Arial" w:cs="Arial"/>
                <w:b/>
                <w:sz w:val="20"/>
                <w:szCs w:val="20"/>
              </w:rPr>
              <w:t>YES</w:t>
            </w:r>
          </w:p>
        </w:tc>
      </w:tr>
      <w:tr w:rsidR="00583DBA" w:rsidRPr="00214192" w14:paraId="65A4C7FE" w14:textId="77777777" w:rsidTr="00822F7C">
        <w:tc>
          <w:tcPr>
            <w:tcW w:w="3240" w:type="dxa"/>
          </w:tcPr>
          <w:p w14:paraId="3E1D1CA6" w14:textId="77777777" w:rsidR="00583DBA" w:rsidRPr="00214192" w:rsidRDefault="00583DBA" w:rsidP="00583DBA">
            <w:pPr>
              <w:numPr>
                <w:ilvl w:val="0"/>
                <w:numId w:val="17"/>
              </w:numPr>
              <w:spacing w:after="0" w:line="240" w:lineRule="auto"/>
              <w:ind w:left="0" w:right="-108"/>
              <w:contextualSpacing/>
              <w:rPr>
                <w:rFonts w:ascii="Arial" w:hAnsi="Arial" w:cs="Arial"/>
                <w:sz w:val="20"/>
                <w:szCs w:val="20"/>
              </w:rPr>
            </w:pPr>
            <w:r w:rsidRPr="00214192">
              <w:rPr>
                <w:rFonts w:ascii="Arial" w:hAnsi="Arial" w:cs="Arial"/>
                <w:sz w:val="20"/>
                <w:szCs w:val="20"/>
              </w:rPr>
              <w:t>Student withdraws for medical reasons directly affecting course attendance</w:t>
            </w:r>
          </w:p>
        </w:tc>
        <w:tc>
          <w:tcPr>
            <w:tcW w:w="2610" w:type="dxa"/>
          </w:tcPr>
          <w:p w14:paraId="7DE0D13C"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Pro-rata tuition fees</w:t>
            </w:r>
          </w:p>
          <w:p w14:paraId="34C7EF32" w14:textId="77777777" w:rsidR="00583DBA" w:rsidRPr="00214192" w:rsidRDefault="00583DBA" w:rsidP="00822F7C">
            <w:pPr>
              <w:ind w:right="-18"/>
              <w:contextualSpacing/>
              <w:rPr>
                <w:rFonts w:ascii="Arial" w:hAnsi="Arial" w:cs="Arial"/>
                <w:b/>
                <w:sz w:val="20"/>
                <w:szCs w:val="20"/>
              </w:rPr>
            </w:pPr>
          </w:p>
        </w:tc>
        <w:tc>
          <w:tcPr>
            <w:tcW w:w="3780" w:type="dxa"/>
          </w:tcPr>
          <w:p w14:paraId="75302980" w14:textId="77777777" w:rsidR="00583DBA" w:rsidRPr="00214192" w:rsidRDefault="00583DBA" w:rsidP="00822F7C">
            <w:pPr>
              <w:ind w:right="-18"/>
              <w:contextualSpacing/>
              <w:rPr>
                <w:rFonts w:ascii="Arial" w:hAnsi="Arial" w:cs="Arial"/>
                <w:b/>
                <w:sz w:val="20"/>
                <w:szCs w:val="20"/>
              </w:rPr>
            </w:pPr>
            <w:r w:rsidRPr="00214192">
              <w:rPr>
                <w:rFonts w:ascii="Arial" w:hAnsi="Arial" w:cs="Arial"/>
                <w:b/>
                <w:sz w:val="20"/>
                <w:szCs w:val="20"/>
              </w:rPr>
              <w:t>YES</w:t>
            </w:r>
          </w:p>
          <w:p w14:paraId="53B5199F"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 xml:space="preserve">Along with a medical certificate </w:t>
            </w:r>
          </w:p>
        </w:tc>
      </w:tr>
      <w:tr w:rsidR="00583DBA" w:rsidRPr="00214192" w14:paraId="5871EE7F" w14:textId="77777777" w:rsidTr="00822F7C">
        <w:tc>
          <w:tcPr>
            <w:tcW w:w="3240" w:type="dxa"/>
          </w:tcPr>
          <w:p w14:paraId="7D99564D" w14:textId="77777777" w:rsidR="00583DBA" w:rsidRPr="00214192" w:rsidRDefault="00583DBA" w:rsidP="00583DBA">
            <w:pPr>
              <w:numPr>
                <w:ilvl w:val="0"/>
                <w:numId w:val="17"/>
              </w:numPr>
              <w:spacing w:after="0" w:line="240" w:lineRule="auto"/>
              <w:ind w:left="0" w:right="-108"/>
              <w:contextualSpacing/>
              <w:rPr>
                <w:rFonts w:ascii="Arial" w:hAnsi="Arial" w:cs="Arial"/>
                <w:sz w:val="20"/>
                <w:szCs w:val="20"/>
              </w:rPr>
            </w:pPr>
            <w:r w:rsidRPr="00214192">
              <w:rPr>
                <w:rFonts w:ascii="Arial" w:hAnsi="Arial" w:cs="Arial"/>
                <w:sz w:val="20"/>
                <w:szCs w:val="20"/>
              </w:rPr>
              <w:t>Transfer to new course within 4 weeks of start of original course</w:t>
            </w:r>
          </w:p>
        </w:tc>
        <w:tc>
          <w:tcPr>
            <w:tcW w:w="2610" w:type="dxa"/>
          </w:tcPr>
          <w:p w14:paraId="7E90D1EA"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Any fee difference in full</w:t>
            </w:r>
          </w:p>
        </w:tc>
        <w:tc>
          <w:tcPr>
            <w:tcW w:w="3780" w:type="dxa"/>
          </w:tcPr>
          <w:p w14:paraId="14D1E749" w14:textId="77777777" w:rsidR="00583DBA" w:rsidRPr="00214192" w:rsidRDefault="00583DBA" w:rsidP="00822F7C">
            <w:pPr>
              <w:ind w:right="-18"/>
              <w:contextualSpacing/>
              <w:rPr>
                <w:rFonts w:ascii="Arial" w:hAnsi="Arial" w:cs="Arial"/>
                <w:b/>
                <w:sz w:val="20"/>
                <w:szCs w:val="20"/>
              </w:rPr>
            </w:pPr>
            <w:r w:rsidRPr="00214192">
              <w:rPr>
                <w:rFonts w:ascii="Arial" w:hAnsi="Arial" w:cs="Arial"/>
                <w:b/>
                <w:sz w:val="20"/>
                <w:szCs w:val="20"/>
              </w:rPr>
              <w:t>NO</w:t>
            </w:r>
          </w:p>
          <w:p w14:paraId="53A296F0"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Fees refunded back to debit/credit card or Cheque posted</w:t>
            </w:r>
          </w:p>
          <w:p w14:paraId="1F85509A" w14:textId="77777777" w:rsidR="00583DBA" w:rsidRPr="00214192" w:rsidRDefault="00583DBA" w:rsidP="00822F7C">
            <w:pPr>
              <w:ind w:right="-18"/>
              <w:contextualSpacing/>
              <w:rPr>
                <w:rFonts w:ascii="Arial" w:hAnsi="Arial" w:cs="Arial"/>
                <w:b/>
                <w:sz w:val="20"/>
                <w:szCs w:val="20"/>
              </w:rPr>
            </w:pPr>
            <w:r w:rsidRPr="00214192">
              <w:rPr>
                <w:rFonts w:ascii="Arial" w:hAnsi="Arial" w:cs="Arial"/>
                <w:sz w:val="20"/>
                <w:szCs w:val="20"/>
              </w:rPr>
              <w:t>(</w:t>
            </w:r>
            <w:proofErr w:type="gramStart"/>
            <w:r w:rsidRPr="00214192">
              <w:rPr>
                <w:rFonts w:ascii="Arial" w:hAnsi="Arial" w:cs="Arial"/>
                <w:sz w:val="20"/>
                <w:szCs w:val="20"/>
              </w:rPr>
              <w:t>after</w:t>
            </w:r>
            <w:proofErr w:type="gramEnd"/>
            <w:r w:rsidRPr="00214192">
              <w:rPr>
                <w:rFonts w:ascii="Arial" w:hAnsi="Arial" w:cs="Arial"/>
                <w:sz w:val="20"/>
                <w:szCs w:val="20"/>
              </w:rPr>
              <w:t xml:space="preserve"> tutor advises of transfer)</w:t>
            </w:r>
          </w:p>
        </w:tc>
      </w:tr>
      <w:tr w:rsidR="00583DBA" w:rsidRPr="00214192" w14:paraId="4B64332C" w14:textId="77777777" w:rsidTr="00822F7C">
        <w:tc>
          <w:tcPr>
            <w:tcW w:w="3240" w:type="dxa"/>
          </w:tcPr>
          <w:p w14:paraId="25D77413" w14:textId="77777777" w:rsidR="00583DBA" w:rsidRPr="00214192" w:rsidRDefault="00583DBA" w:rsidP="00583DBA">
            <w:pPr>
              <w:numPr>
                <w:ilvl w:val="0"/>
                <w:numId w:val="17"/>
              </w:numPr>
              <w:spacing w:after="0" w:line="240" w:lineRule="auto"/>
              <w:ind w:left="0" w:right="-108"/>
              <w:contextualSpacing/>
              <w:rPr>
                <w:rFonts w:ascii="Arial" w:hAnsi="Arial" w:cs="Arial"/>
                <w:sz w:val="20"/>
                <w:szCs w:val="20"/>
              </w:rPr>
            </w:pPr>
            <w:r w:rsidRPr="00214192">
              <w:rPr>
                <w:rFonts w:ascii="Arial" w:hAnsi="Arial" w:cs="Arial"/>
                <w:sz w:val="20"/>
                <w:szCs w:val="20"/>
              </w:rPr>
              <w:t>Student makes a written complaint regarding the course and/or quality of teaching which is upheld by the Director of Quality</w:t>
            </w:r>
          </w:p>
        </w:tc>
        <w:tc>
          <w:tcPr>
            <w:tcW w:w="2610" w:type="dxa"/>
          </w:tcPr>
          <w:p w14:paraId="558CD2FE"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Fees as recommended by the Director of Quality</w:t>
            </w:r>
          </w:p>
        </w:tc>
        <w:tc>
          <w:tcPr>
            <w:tcW w:w="3780" w:type="dxa"/>
          </w:tcPr>
          <w:p w14:paraId="16874F2A" w14:textId="77777777" w:rsidR="00583DBA" w:rsidRPr="00214192" w:rsidRDefault="00583DBA" w:rsidP="00822F7C">
            <w:pPr>
              <w:ind w:right="-18"/>
              <w:contextualSpacing/>
              <w:rPr>
                <w:rFonts w:ascii="Arial" w:hAnsi="Arial" w:cs="Arial"/>
                <w:b/>
                <w:sz w:val="20"/>
                <w:szCs w:val="20"/>
              </w:rPr>
            </w:pPr>
            <w:r w:rsidRPr="00214192">
              <w:rPr>
                <w:rFonts w:ascii="Arial" w:hAnsi="Arial" w:cs="Arial"/>
                <w:b/>
                <w:sz w:val="20"/>
                <w:szCs w:val="20"/>
              </w:rPr>
              <w:t>YES</w:t>
            </w:r>
          </w:p>
          <w:p w14:paraId="5FF4BF85" w14:textId="77777777" w:rsidR="00583DBA" w:rsidRPr="00214192" w:rsidRDefault="00583DBA" w:rsidP="00822F7C">
            <w:pPr>
              <w:ind w:right="-18"/>
              <w:contextualSpacing/>
              <w:rPr>
                <w:rFonts w:ascii="Arial" w:hAnsi="Arial" w:cs="Arial"/>
                <w:sz w:val="20"/>
                <w:szCs w:val="20"/>
              </w:rPr>
            </w:pPr>
            <w:r w:rsidRPr="00214192">
              <w:rPr>
                <w:rFonts w:ascii="Arial" w:hAnsi="Arial" w:cs="Arial"/>
                <w:sz w:val="20"/>
                <w:szCs w:val="20"/>
              </w:rPr>
              <w:t>Together with details of complaint in writing</w:t>
            </w:r>
          </w:p>
        </w:tc>
      </w:tr>
    </w:tbl>
    <w:p w14:paraId="5E0C015D" w14:textId="77777777" w:rsidR="00583DBA" w:rsidRDefault="00583DBA" w:rsidP="00583DBA">
      <w:pPr>
        <w:spacing w:line="240" w:lineRule="auto"/>
        <w:rPr>
          <w:rFonts w:ascii="Arial" w:hAnsi="Arial" w:cs="Arial"/>
          <w:iCs/>
        </w:rPr>
      </w:pPr>
    </w:p>
    <w:p w14:paraId="0D9D3996" w14:textId="77777777" w:rsidR="00583DBA" w:rsidRPr="006D6BDA" w:rsidRDefault="00583DBA" w:rsidP="00583DBA">
      <w:pPr>
        <w:spacing w:after="0" w:line="240" w:lineRule="auto"/>
        <w:jc w:val="both"/>
        <w:rPr>
          <w:rFonts w:ascii="Arial" w:hAnsi="Arial" w:cs="Arial"/>
          <w:iCs/>
        </w:rPr>
      </w:pPr>
      <w:r>
        <w:rPr>
          <w:rFonts w:ascii="Arial" w:hAnsi="Arial" w:cs="Arial"/>
          <w:iCs/>
        </w:rPr>
        <w:t xml:space="preserve">Compensation under the Student Protection </w:t>
      </w:r>
      <w:r w:rsidRPr="006D6BDA">
        <w:rPr>
          <w:rFonts w:ascii="Arial" w:hAnsi="Arial" w:cs="Arial"/>
          <w:iCs/>
        </w:rPr>
        <w:t>Policy will cover:</w:t>
      </w:r>
    </w:p>
    <w:p w14:paraId="63B6D913" w14:textId="77777777" w:rsidR="00583DBA" w:rsidRPr="006D6BDA" w:rsidRDefault="00583DBA" w:rsidP="00583DBA">
      <w:pPr>
        <w:spacing w:after="0" w:line="240" w:lineRule="auto"/>
        <w:ind w:left="450"/>
        <w:jc w:val="both"/>
        <w:rPr>
          <w:rFonts w:ascii="Arial" w:hAnsi="Arial" w:cs="Arial"/>
          <w:iCs/>
        </w:rPr>
      </w:pPr>
    </w:p>
    <w:p w14:paraId="78B2A6D5" w14:textId="77777777" w:rsidR="00583DBA" w:rsidRPr="006D6BDA" w:rsidRDefault="00583DBA" w:rsidP="00583DBA">
      <w:pPr>
        <w:numPr>
          <w:ilvl w:val="0"/>
          <w:numId w:val="19"/>
        </w:numPr>
        <w:spacing w:after="0" w:line="240" w:lineRule="auto"/>
        <w:ind w:left="1134" w:hanging="283"/>
        <w:jc w:val="both"/>
        <w:rPr>
          <w:rFonts w:ascii="Arial" w:hAnsi="Arial" w:cs="Arial"/>
          <w:iCs/>
        </w:rPr>
      </w:pPr>
      <w:r w:rsidRPr="006D6BDA">
        <w:rPr>
          <w:rFonts w:ascii="Arial" w:hAnsi="Arial" w:cs="Arial"/>
          <w:iCs/>
        </w:rPr>
        <w:t>compensation for additional travel costs for students affected by a change in the location of their course;</w:t>
      </w:r>
    </w:p>
    <w:p w14:paraId="78B74006" w14:textId="77777777" w:rsidR="00583DBA" w:rsidRPr="006D6BDA" w:rsidRDefault="00583DBA" w:rsidP="00583DBA">
      <w:pPr>
        <w:numPr>
          <w:ilvl w:val="0"/>
          <w:numId w:val="19"/>
        </w:numPr>
        <w:spacing w:after="0" w:line="240" w:lineRule="auto"/>
        <w:ind w:left="1134" w:hanging="283"/>
        <w:jc w:val="both"/>
        <w:rPr>
          <w:rFonts w:ascii="Arial" w:hAnsi="Arial" w:cs="Arial"/>
          <w:iCs/>
        </w:rPr>
      </w:pPr>
      <w:r w:rsidRPr="006D6BDA">
        <w:rPr>
          <w:rFonts w:ascii="Arial" w:hAnsi="Arial" w:cs="Arial"/>
          <w:iCs/>
        </w:rPr>
        <w:t>commitments to honour student bursaries;</w:t>
      </w:r>
    </w:p>
    <w:p w14:paraId="29200FC1" w14:textId="77777777" w:rsidR="00583DBA" w:rsidRPr="006D6BDA" w:rsidRDefault="00583DBA" w:rsidP="00583DBA">
      <w:pPr>
        <w:numPr>
          <w:ilvl w:val="0"/>
          <w:numId w:val="19"/>
        </w:numPr>
        <w:spacing w:after="0" w:line="240" w:lineRule="auto"/>
        <w:ind w:left="1134" w:hanging="283"/>
        <w:jc w:val="both"/>
        <w:rPr>
          <w:rFonts w:ascii="Arial" w:hAnsi="Arial" w:cs="Arial"/>
          <w:iCs/>
        </w:rPr>
      </w:pPr>
      <w:r w:rsidRPr="006D6BDA">
        <w:rPr>
          <w:rFonts w:ascii="Arial" w:hAnsi="Arial" w:cs="Arial"/>
          <w:iCs/>
        </w:rPr>
        <w:t xml:space="preserve">compensation for maintenance costs and lost time in the unlikely event that it is not possible to preserve continuation of study; </w:t>
      </w:r>
    </w:p>
    <w:p w14:paraId="4E093667" w14:textId="77777777" w:rsidR="00583DBA" w:rsidRPr="006D6BDA" w:rsidRDefault="00583DBA" w:rsidP="00583DBA">
      <w:pPr>
        <w:numPr>
          <w:ilvl w:val="0"/>
          <w:numId w:val="19"/>
        </w:numPr>
        <w:spacing w:after="0" w:line="240" w:lineRule="auto"/>
        <w:ind w:left="1134" w:hanging="283"/>
        <w:jc w:val="both"/>
        <w:rPr>
          <w:rFonts w:ascii="Arial" w:hAnsi="Arial" w:cs="Arial"/>
          <w:iCs/>
        </w:rPr>
      </w:pPr>
      <w:r w:rsidRPr="006D6BDA">
        <w:rPr>
          <w:rFonts w:ascii="Arial" w:hAnsi="Arial" w:cs="Arial"/>
          <w:iCs/>
        </w:rPr>
        <w:t xml:space="preserve">compensation for tuition and maintenance costs where students </w:t>
      </w:r>
      <w:proofErr w:type="gramStart"/>
      <w:r w:rsidRPr="006D6BDA">
        <w:rPr>
          <w:rFonts w:ascii="Arial" w:hAnsi="Arial" w:cs="Arial"/>
          <w:iCs/>
        </w:rPr>
        <w:t>have to</w:t>
      </w:r>
      <w:proofErr w:type="gramEnd"/>
      <w:r w:rsidRPr="006D6BDA">
        <w:rPr>
          <w:rFonts w:ascii="Arial" w:hAnsi="Arial" w:cs="Arial"/>
          <w:iCs/>
        </w:rPr>
        <w:t xml:space="preserve"> change course or provider.</w:t>
      </w:r>
    </w:p>
    <w:p w14:paraId="5278FEB5" w14:textId="77777777" w:rsidR="00583DBA" w:rsidRDefault="00583DBA" w:rsidP="00583DBA">
      <w:pPr>
        <w:spacing w:after="0" w:line="240" w:lineRule="auto"/>
        <w:jc w:val="both"/>
        <w:rPr>
          <w:rFonts w:ascii="Arial" w:hAnsi="Arial" w:cs="Arial"/>
          <w:iCs/>
        </w:rPr>
      </w:pPr>
    </w:p>
    <w:p w14:paraId="06D0582C" w14:textId="77777777" w:rsidR="00583DBA" w:rsidRPr="00D371EE" w:rsidRDefault="00583DBA" w:rsidP="00583DBA">
      <w:pPr>
        <w:spacing w:line="240" w:lineRule="auto"/>
        <w:rPr>
          <w:rFonts w:ascii="Arial" w:hAnsi="Arial" w:cs="Arial"/>
          <w:iCs/>
        </w:rPr>
      </w:pPr>
      <w:r w:rsidRPr="00D371EE">
        <w:rPr>
          <w:rFonts w:ascii="Arial" w:hAnsi="Arial" w:cs="Arial"/>
          <w:iCs/>
        </w:rPr>
        <w:t xml:space="preserve">Any claims for compensation will be considered on a case-by-case basis dependent on the context and the circumstances in which a student finds themselves.  The mechanism by which a student may apply for compensation will involve communication with the relevant students concerned outlining how to apply for any refund and/or compensation. </w:t>
      </w:r>
    </w:p>
    <w:p w14:paraId="01D3517A" w14:textId="77777777" w:rsidR="00583DBA" w:rsidRPr="00D371EE" w:rsidRDefault="00583DBA" w:rsidP="00583DBA">
      <w:pPr>
        <w:spacing w:after="0" w:line="240" w:lineRule="auto"/>
        <w:jc w:val="both"/>
        <w:rPr>
          <w:rFonts w:ascii="Arial" w:hAnsi="Arial" w:cs="Arial"/>
          <w:iCs/>
        </w:rPr>
      </w:pPr>
      <w:r w:rsidRPr="00C33685">
        <w:rPr>
          <w:rFonts w:ascii="Arial" w:hAnsi="Arial" w:cs="Arial"/>
          <w:iCs/>
        </w:rPr>
        <w:t xml:space="preserve">We currently have, and foresee that the </w:t>
      </w:r>
      <w:r>
        <w:rPr>
          <w:rFonts w:ascii="Arial" w:hAnsi="Arial" w:cs="Arial"/>
          <w:iCs/>
        </w:rPr>
        <w:t>College</w:t>
      </w:r>
      <w:r w:rsidRPr="00C33685">
        <w:rPr>
          <w:rFonts w:ascii="Arial" w:hAnsi="Arial" w:cs="Arial"/>
          <w:iCs/>
        </w:rPr>
        <w:t xml:space="preserve"> will continue to have, substantial cash reserves which will be sufficient to provide refunds and compensation for ad-hoc claims</w:t>
      </w:r>
      <w:r>
        <w:rPr>
          <w:rFonts w:ascii="Arial" w:hAnsi="Arial" w:cs="Arial"/>
          <w:iCs/>
        </w:rPr>
        <w:t xml:space="preserve">. If a student is dissatisfied with the outcome, the student can initially follow the College’s internal complaints process. </w:t>
      </w:r>
      <w:r w:rsidRPr="00C33685">
        <w:rPr>
          <w:rFonts w:ascii="Arial" w:hAnsi="Arial"/>
          <w:iCs/>
        </w:rPr>
        <w:t xml:space="preserve">If a student exhausts all internal </w:t>
      </w:r>
      <w:r>
        <w:rPr>
          <w:rFonts w:ascii="Arial" w:hAnsi="Arial"/>
          <w:iCs/>
        </w:rPr>
        <w:t xml:space="preserve">College </w:t>
      </w:r>
      <w:r w:rsidRPr="00C33685">
        <w:rPr>
          <w:rFonts w:ascii="Arial" w:hAnsi="Arial"/>
          <w:iCs/>
        </w:rPr>
        <w:t>processes and remains dissatisfied, they may take their claim to the OIA, which has its own compensation policy that applies in the event that they find in the student’s favour.</w:t>
      </w:r>
    </w:p>
    <w:p w14:paraId="22E95F5B" w14:textId="77777777" w:rsidR="00583DBA" w:rsidRPr="004A7A35" w:rsidRDefault="00583DBA" w:rsidP="00583DBA">
      <w:pPr>
        <w:spacing w:line="240" w:lineRule="auto"/>
        <w:rPr>
          <w:rFonts w:ascii="Arial" w:hAnsi="Arial" w:cs="Arial"/>
          <w:iCs/>
        </w:rPr>
      </w:pPr>
    </w:p>
    <w:p w14:paraId="6DFBFC13" w14:textId="77777777" w:rsidR="00583DBA" w:rsidRPr="004A7A35" w:rsidRDefault="00583DBA" w:rsidP="00583DBA">
      <w:pPr>
        <w:pStyle w:val="ListParagraph"/>
        <w:numPr>
          <w:ilvl w:val="0"/>
          <w:numId w:val="16"/>
        </w:numPr>
        <w:spacing w:after="200" w:line="240" w:lineRule="auto"/>
        <w:rPr>
          <w:rFonts w:ascii="Arial" w:hAnsi="Arial" w:cs="Arial"/>
          <w:iCs/>
        </w:rPr>
      </w:pPr>
      <w:r>
        <w:rPr>
          <w:rFonts w:ascii="Arial" w:hAnsi="Arial" w:cs="Arial"/>
          <w:iCs/>
        </w:rPr>
        <w:t>W</w:t>
      </w:r>
      <w:r w:rsidRPr="004A7A35">
        <w:rPr>
          <w:rFonts w:ascii="Arial" w:hAnsi="Arial" w:cs="Arial"/>
          <w:iCs/>
        </w:rPr>
        <w:t>ithdraw</w:t>
      </w:r>
      <w:r>
        <w:rPr>
          <w:rFonts w:ascii="Arial" w:hAnsi="Arial" w:cs="Arial"/>
          <w:iCs/>
        </w:rPr>
        <w:t>al</w:t>
      </w:r>
      <w:r w:rsidRPr="004A7A35">
        <w:rPr>
          <w:rFonts w:ascii="Arial" w:hAnsi="Arial" w:cs="Arial"/>
          <w:iCs/>
        </w:rPr>
        <w:t xml:space="preserve"> from the course after </w:t>
      </w:r>
      <w:r>
        <w:rPr>
          <w:rFonts w:ascii="Arial" w:hAnsi="Arial" w:cs="Arial"/>
          <w:iCs/>
        </w:rPr>
        <w:t xml:space="preserve">commencement </w:t>
      </w:r>
      <w:r w:rsidRPr="004A7A35">
        <w:rPr>
          <w:rFonts w:ascii="Arial" w:hAnsi="Arial" w:cs="Arial"/>
          <w:iCs/>
        </w:rPr>
        <w:t xml:space="preserve"> </w:t>
      </w:r>
    </w:p>
    <w:p w14:paraId="770269D2" w14:textId="77777777" w:rsidR="00583DBA" w:rsidRDefault="00583DBA" w:rsidP="00583DBA">
      <w:pPr>
        <w:spacing w:after="0"/>
        <w:rPr>
          <w:rFonts w:ascii="Arial" w:eastAsia="Times New Roman" w:hAnsi="Arial" w:cs="Arial"/>
        </w:rPr>
      </w:pPr>
      <w:r w:rsidRPr="004A7A35">
        <w:rPr>
          <w:rFonts w:ascii="Arial" w:eastAsia="Times New Roman" w:hAnsi="Arial" w:cs="Arial"/>
        </w:rPr>
        <w:t>Students will be liable for their tuition fees for the entire year of study unless they formally notify the College (by sending an email to</w:t>
      </w:r>
      <w:r>
        <w:rPr>
          <w:rFonts w:ascii="Arial" w:eastAsia="Times New Roman" w:hAnsi="Arial" w:cs="Arial"/>
        </w:rPr>
        <w:t xml:space="preserve"> the programme manager and HE co-</w:t>
      </w:r>
      <w:r w:rsidRPr="004A7A35">
        <w:rPr>
          <w:rFonts w:ascii="Arial" w:eastAsia="Times New Roman" w:hAnsi="Arial" w:cs="Arial"/>
        </w:rPr>
        <w:t xml:space="preserve">ordinator) that they wish to withdraw, defer, or apply for a suspension of their studies. </w:t>
      </w:r>
    </w:p>
    <w:p w14:paraId="32A2A67C" w14:textId="77777777" w:rsidR="00583DBA" w:rsidRDefault="00583DBA" w:rsidP="00583DBA">
      <w:pPr>
        <w:spacing w:after="0"/>
        <w:rPr>
          <w:rFonts w:ascii="Arial" w:eastAsia="Times New Roman" w:hAnsi="Arial" w:cs="Arial"/>
        </w:rPr>
      </w:pPr>
    </w:p>
    <w:p w14:paraId="0F4AC149" w14:textId="77777777" w:rsidR="00583DBA" w:rsidRPr="004A7A35" w:rsidRDefault="00583DBA" w:rsidP="00583DBA">
      <w:pPr>
        <w:spacing w:line="240" w:lineRule="auto"/>
        <w:rPr>
          <w:rFonts w:ascii="Arial" w:hAnsi="Arial" w:cs="Arial"/>
          <w:b/>
          <w:i/>
        </w:rPr>
      </w:pPr>
      <w:r w:rsidRPr="004A7A35">
        <w:rPr>
          <w:rFonts w:ascii="Arial" w:hAnsi="Arial" w:cs="Arial"/>
          <w:b/>
          <w:i/>
        </w:rPr>
        <w:t>Information about how we communicate with students about our student protection plan</w:t>
      </w:r>
    </w:p>
    <w:p w14:paraId="41E5D90C" w14:textId="77777777" w:rsidR="00583DBA" w:rsidRDefault="00583DBA" w:rsidP="00583DBA">
      <w:pPr>
        <w:rPr>
          <w:rFonts w:ascii="Arial" w:hAnsi="Arial" w:cs="Arial"/>
          <w:color w:val="000000" w:themeColor="text1"/>
        </w:rPr>
      </w:pPr>
      <w:r w:rsidRPr="004A7A35">
        <w:rPr>
          <w:rFonts w:ascii="Arial" w:hAnsi="Arial" w:cs="Arial"/>
        </w:rPr>
        <w:t xml:space="preserve">When an offer is made students are sent the links to the </w:t>
      </w:r>
      <w:r w:rsidRPr="004A7A35">
        <w:rPr>
          <w:rFonts w:ascii="Arial" w:hAnsi="Arial" w:cs="Arial"/>
          <w:b/>
          <w:i/>
          <w:color w:val="000000" w:themeColor="text1"/>
        </w:rPr>
        <w:t>Key Facts</w:t>
      </w:r>
      <w:r w:rsidRPr="004A7A35">
        <w:rPr>
          <w:rFonts w:ascii="Arial" w:hAnsi="Arial" w:cs="Arial"/>
          <w:color w:val="000000" w:themeColor="text1"/>
        </w:rPr>
        <w:t xml:space="preserve"> and the</w:t>
      </w:r>
      <w:r w:rsidRPr="004A7A35">
        <w:rPr>
          <w:rFonts w:ascii="Arial" w:hAnsi="Arial" w:cs="Arial"/>
          <w:b/>
          <w:bCs/>
          <w:i/>
          <w:iCs/>
        </w:rPr>
        <w:t xml:space="preserve"> Student Fees Policy and Procedure</w:t>
      </w:r>
      <w:r w:rsidRPr="004A7A35">
        <w:rPr>
          <w:rFonts w:ascii="Arial" w:hAnsi="Arial" w:cs="Arial"/>
          <w:color w:val="000000" w:themeColor="text1"/>
        </w:rPr>
        <w:t>.</w:t>
      </w:r>
    </w:p>
    <w:p w14:paraId="29C47ECC" w14:textId="77777777" w:rsidR="00583DBA" w:rsidRPr="002E2F2A" w:rsidRDefault="00583DBA" w:rsidP="00583DBA">
      <w:pPr>
        <w:rPr>
          <w:rFonts w:ascii="Arial" w:hAnsi="Arial" w:cs="Arial"/>
        </w:rPr>
      </w:pPr>
      <w:r w:rsidRPr="002E2F2A">
        <w:rPr>
          <w:rFonts w:ascii="Arial" w:eastAsia="Times New Roman" w:hAnsi="Arial" w:cs="Arial"/>
          <w:lang w:eastAsia="en-GB"/>
        </w:rPr>
        <w:t xml:space="preserve">As we do with our current </w:t>
      </w:r>
      <w:r w:rsidRPr="002E2F2A">
        <w:rPr>
          <w:rFonts w:ascii="Arial" w:hAnsi="Arial" w:cs="Arial"/>
          <w:b/>
          <w:i/>
          <w:color w:val="000000" w:themeColor="text1"/>
        </w:rPr>
        <w:t>Key Facts</w:t>
      </w:r>
      <w:r w:rsidRPr="002E2F2A">
        <w:rPr>
          <w:rFonts w:ascii="Arial" w:hAnsi="Arial" w:cs="Arial"/>
          <w:color w:val="000000" w:themeColor="text1"/>
        </w:rPr>
        <w:t xml:space="preserve"> and the</w:t>
      </w:r>
      <w:r w:rsidRPr="002E2F2A">
        <w:rPr>
          <w:rFonts w:ascii="Arial" w:hAnsi="Arial" w:cs="Arial"/>
          <w:b/>
          <w:bCs/>
          <w:i/>
          <w:iCs/>
        </w:rPr>
        <w:t xml:space="preserve"> Student Fees Policy and Procedure </w:t>
      </w:r>
      <w:r w:rsidRPr="002E2F2A">
        <w:rPr>
          <w:rFonts w:ascii="Arial" w:eastAsia="Times New Roman" w:hAnsi="Arial" w:cs="Arial"/>
          <w:lang w:eastAsia="en-GB"/>
        </w:rPr>
        <w:t xml:space="preserve">we will publicise our </w:t>
      </w:r>
      <w:r w:rsidRPr="00F1050A">
        <w:rPr>
          <w:rFonts w:ascii="Arial" w:eastAsia="Times New Roman" w:hAnsi="Arial" w:cs="Arial"/>
          <w:b/>
          <w:lang w:eastAsia="en-GB"/>
        </w:rPr>
        <w:t>Student Protection Plan</w:t>
      </w:r>
      <w:r w:rsidRPr="002E2F2A">
        <w:rPr>
          <w:rFonts w:ascii="Arial" w:eastAsia="Times New Roman" w:hAnsi="Arial" w:cs="Arial"/>
          <w:lang w:eastAsia="en-GB"/>
        </w:rPr>
        <w:t xml:space="preserve"> to current and future students by displaying it on both our external website and internal intranet site. </w:t>
      </w:r>
      <w:r w:rsidRPr="002E2F2A">
        <w:rPr>
          <w:rFonts w:ascii="Arial" w:hAnsi="Arial" w:cs="Arial"/>
        </w:rPr>
        <w:t xml:space="preserve">All students will be made aware of the student protection plan at induction as well. </w:t>
      </w:r>
    </w:p>
    <w:p w14:paraId="72411EFD" w14:textId="77777777" w:rsidR="00583DBA" w:rsidRDefault="00583DBA" w:rsidP="00583DBA">
      <w:pPr>
        <w:spacing w:after="0"/>
        <w:rPr>
          <w:rFonts w:ascii="Arial" w:eastAsia="Times New Roman" w:hAnsi="Arial" w:cs="Arial"/>
          <w:lang w:eastAsia="en-GB"/>
        </w:rPr>
      </w:pPr>
      <w:r w:rsidRPr="002E2F2A">
        <w:rPr>
          <w:rFonts w:ascii="Arial" w:eastAsia="Times New Roman" w:hAnsi="Arial" w:cs="Arial"/>
          <w:lang w:eastAsia="en-GB"/>
        </w:rPr>
        <w:t xml:space="preserve">Alongside the advice and guidance provided to staff regarding Consumer Protection Law we will ensure that staff are aware of the implications of our Student Protection Plan especially when they propose course changes but also in regard to compensation and refund policies.  </w:t>
      </w:r>
      <w:r w:rsidRPr="002E2F2A">
        <w:rPr>
          <w:rFonts w:ascii="Arial" w:eastAsia="Times New Roman" w:hAnsi="Arial" w:cs="Arial"/>
          <w:lang w:eastAsia="en-GB"/>
        </w:rPr>
        <w:br/>
      </w:r>
    </w:p>
    <w:p w14:paraId="474EC9AB" w14:textId="77777777" w:rsidR="00583DBA" w:rsidRDefault="00583DBA" w:rsidP="00583DBA">
      <w:pPr>
        <w:spacing w:after="0"/>
        <w:rPr>
          <w:rFonts w:ascii="Arial" w:eastAsia="Times New Roman" w:hAnsi="Arial" w:cs="Arial"/>
          <w:lang w:eastAsia="en-GB"/>
        </w:rPr>
      </w:pPr>
      <w:r w:rsidRPr="002E2F2A">
        <w:rPr>
          <w:rFonts w:ascii="Arial" w:eastAsia="Times New Roman" w:hAnsi="Arial" w:cs="Arial"/>
          <w:lang w:eastAsia="en-GB"/>
        </w:rPr>
        <w:t xml:space="preserve">The Student Protection Plan has been approved by the </w:t>
      </w:r>
      <w:r>
        <w:rPr>
          <w:rFonts w:ascii="Arial" w:eastAsia="Times New Roman" w:hAnsi="Arial" w:cs="Arial"/>
          <w:lang w:eastAsia="en-GB"/>
        </w:rPr>
        <w:t>P</w:t>
      </w:r>
      <w:r w:rsidRPr="002E2F2A">
        <w:rPr>
          <w:rFonts w:ascii="Arial" w:eastAsia="Times New Roman" w:hAnsi="Arial" w:cs="Arial"/>
          <w:lang w:eastAsia="en-GB"/>
        </w:rPr>
        <w:t>rincipal of the College and the College Higher Education Committee</w:t>
      </w:r>
      <w:r>
        <w:rPr>
          <w:rFonts w:ascii="Arial" w:eastAsia="Times New Roman" w:hAnsi="Arial" w:cs="Arial"/>
          <w:lang w:eastAsia="en-GB"/>
        </w:rPr>
        <w:t>.</w:t>
      </w:r>
      <w:r w:rsidRPr="002E2F2A">
        <w:rPr>
          <w:rFonts w:ascii="Arial" w:eastAsia="Times New Roman" w:hAnsi="Arial" w:cs="Arial"/>
          <w:lang w:eastAsia="en-GB"/>
        </w:rPr>
        <w:t xml:space="preserve">  </w:t>
      </w:r>
    </w:p>
    <w:p w14:paraId="349B8568" w14:textId="77777777" w:rsidR="00583DBA" w:rsidRPr="002E2F2A" w:rsidRDefault="00583DBA" w:rsidP="00583DBA">
      <w:pPr>
        <w:spacing w:after="0"/>
        <w:rPr>
          <w:rFonts w:ascii="Arial" w:eastAsia="Times New Roman" w:hAnsi="Arial" w:cs="Arial"/>
          <w:lang w:eastAsia="en-GB"/>
        </w:rPr>
      </w:pPr>
    </w:p>
    <w:p w14:paraId="4D59A9EB" w14:textId="77777777" w:rsidR="00583DBA" w:rsidRPr="002E2F2A" w:rsidRDefault="00583DBA" w:rsidP="00583DBA">
      <w:pPr>
        <w:rPr>
          <w:rFonts w:ascii="Arial" w:hAnsi="Arial" w:cs="Arial"/>
        </w:rPr>
      </w:pPr>
      <w:r w:rsidRPr="002E2F2A">
        <w:rPr>
          <w:rFonts w:ascii="Arial" w:hAnsi="Arial" w:cs="Arial"/>
        </w:rPr>
        <w:t xml:space="preserve">The student protection plan will be reviewed on an annual basis with HE student representatives and staff within the College. </w:t>
      </w:r>
    </w:p>
    <w:p w14:paraId="03D86CA0" w14:textId="77777777" w:rsidR="00583DBA" w:rsidRPr="002E2F2A" w:rsidRDefault="00583DBA" w:rsidP="00583DBA">
      <w:pPr>
        <w:rPr>
          <w:rFonts w:ascii="Arial" w:hAnsi="Arial" w:cs="Arial"/>
        </w:rPr>
      </w:pPr>
      <w:r w:rsidRPr="002E2F2A">
        <w:rPr>
          <w:rFonts w:ascii="Arial" w:hAnsi="Arial" w:cs="Arial"/>
        </w:rPr>
        <w:t>All reasonable steps will be taken to minimise any specific disruption to services and to affected students by:</w:t>
      </w:r>
    </w:p>
    <w:p w14:paraId="20CBD7D8" w14:textId="77777777" w:rsidR="00583DBA" w:rsidRPr="002E2F2A" w:rsidRDefault="00583DBA" w:rsidP="00583DBA">
      <w:pPr>
        <w:pStyle w:val="ListParagraph"/>
        <w:numPr>
          <w:ilvl w:val="0"/>
          <w:numId w:val="12"/>
        </w:numPr>
        <w:spacing w:after="200" w:line="276" w:lineRule="auto"/>
        <w:rPr>
          <w:rFonts w:ascii="Arial" w:hAnsi="Arial" w:cs="Arial"/>
        </w:rPr>
      </w:pPr>
      <w:r w:rsidRPr="002E2F2A">
        <w:rPr>
          <w:rFonts w:ascii="Arial" w:hAnsi="Arial" w:cs="Arial"/>
        </w:rPr>
        <w:t>providing support to students who wish to transfer to a different provider.</w:t>
      </w:r>
    </w:p>
    <w:p w14:paraId="47244944" w14:textId="77777777" w:rsidR="00583DBA" w:rsidRPr="002E2F2A" w:rsidRDefault="00583DBA" w:rsidP="00583DBA">
      <w:pPr>
        <w:pStyle w:val="ListParagraph"/>
        <w:numPr>
          <w:ilvl w:val="0"/>
          <w:numId w:val="12"/>
        </w:numPr>
        <w:spacing w:after="200" w:line="276" w:lineRule="auto"/>
        <w:rPr>
          <w:rFonts w:ascii="Arial" w:hAnsi="Arial" w:cs="Arial"/>
        </w:rPr>
      </w:pPr>
      <w:r w:rsidRPr="002E2F2A">
        <w:rPr>
          <w:rFonts w:ascii="Arial" w:hAnsi="Arial" w:cs="Arial"/>
        </w:rPr>
        <w:t>delivering a modified version of the same course;</w:t>
      </w:r>
    </w:p>
    <w:p w14:paraId="561BA0B3" w14:textId="77777777" w:rsidR="00583DBA" w:rsidRDefault="00583DBA" w:rsidP="00583DBA">
      <w:pPr>
        <w:pStyle w:val="ListParagraph"/>
        <w:numPr>
          <w:ilvl w:val="0"/>
          <w:numId w:val="12"/>
        </w:numPr>
        <w:spacing w:after="200" w:line="276" w:lineRule="auto"/>
        <w:rPr>
          <w:rFonts w:ascii="Arial" w:hAnsi="Arial" w:cs="Arial"/>
        </w:rPr>
      </w:pPr>
      <w:r w:rsidRPr="002E2F2A">
        <w:rPr>
          <w:rFonts w:ascii="Arial" w:hAnsi="Arial" w:cs="Arial"/>
        </w:rPr>
        <w:t>supporting students who wish to move to another course either at College or another provider.</w:t>
      </w:r>
    </w:p>
    <w:p w14:paraId="7CF0DB8D" w14:textId="77777777" w:rsidR="00583DBA" w:rsidRPr="00C00EA6" w:rsidRDefault="00583DBA" w:rsidP="00583DBA">
      <w:pPr>
        <w:rPr>
          <w:rFonts w:ascii="Arial" w:hAnsi="Arial" w:cs="Arial"/>
        </w:rPr>
      </w:pPr>
      <w:r w:rsidRPr="00C00EA6">
        <w:rPr>
          <w:rFonts w:ascii="Arial" w:hAnsi="Arial" w:cs="Arial"/>
        </w:rPr>
        <w:t xml:space="preserve">For any student seeking to transfer into Oaklands College or transfer to another higher education institution, we would ensure they are fully supported through the credit transfer process. </w:t>
      </w:r>
    </w:p>
    <w:p w14:paraId="3F2398F9" w14:textId="77777777" w:rsidR="00583DBA" w:rsidRPr="00C00EA6" w:rsidRDefault="00583DBA" w:rsidP="00583DBA">
      <w:pPr>
        <w:rPr>
          <w:rFonts w:ascii="Arial" w:hAnsi="Arial" w:cs="Arial"/>
        </w:rPr>
      </w:pPr>
      <w:r w:rsidRPr="00C00EA6">
        <w:rPr>
          <w:rFonts w:ascii="Arial" w:hAnsi="Arial" w:cs="Arial"/>
        </w:rPr>
        <w:t xml:space="preserve">For students transferring to another institution we will liaise as appropriate and provide relevant course documentation to enable credit achieved to be transferred. We will also ensure that students have a notification of performance/certificate of unit credit from the awarding body to enable the institution to consider their credit application. </w:t>
      </w:r>
    </w:p>
    <w:p w14:paraId="53B05FE6" w14:textId="77777777" w:rsidR="00583DBA" w:rsidRPr="002747F4" w:rsidRDefault="00583DBA" w:rsidP="00583DBA">
      <w:pPr>
        <w:rPr>
          <w:rFonts w:ascii="Arial" w:hAnsi="Arial" w:cs="Arial"/>
        </w:rPr>
      </w:pPr>
      <w:r w:rsidRPr="00C00EA6">
        <w:rPr>
          <w:rFonts w:ascii="Arial" w:hAnsi="Arial" w:cs="Arial"/>
        </w:rPr>
        <w:t xml:space="preserve">Similarly for students transferring into Oaklands College, we will undertake a mapping exercise of the relevant credit achieved against the course to maximise appropriate credit transfer. Credit will only be recognised if it is relevant, recent, </w:t>
      </w:r>
      <w:proofErr w:type="spellStart"/>
      <w:r w:rsidRPr="00C00EA6">
        <w:rPr>
          <w:rFonts w:ascii="Arial" w:hAnsi="Arial" w:cs="Arial"/>
        </w:rPr>
        <w:t>ie</w:t>
      </w:r>
      <w:proofErr w:type="spellEnd"/>
      <w:r w:rsidRPr="00C00EA6">
        <w:rPr>
          <w:rFonts w:ascii="Arial" w:hAnsi="Arial" w:cs="Arial"/>
        </w:rPr>
        <w:t xml:space="preserve"> normally within 5 years and achieved at the same academic level.</w:t>
      </w:r>
      <w:r>
        <w:rPr>
          <w:rFonts w:ascii="Arial" w:hAnsi="Arial" w:cs="Arial"/>
        </w:rPr>
        <w:t xml:space="preserve"> </w:t>
      </w:r>
    </w:p>
    <w:p w14:paraId="305BD36C" w14:textId="7A18ECA6" w:rsidR="00583DBA" w:rsidRPr="002E2F2A" w:rsidRDefault="00583DBA" w:rsidP="00583DBA">
      <w:pPr>
        <w:rPr>
          <w:rFonts w:ascii="Arial" w:hAnsi="Arial" w:cs="Arial"/>
        </w:rPr>
      </w:pPr>
      <w:r w:rsidRPr="002E2F2A">
        <w:rPr>
          <w:rFonts w:ascii="Arial" w:hAnsi="Arial" w:cs="Arial"/>
        </w:rPr>
        <w:t>Where a student</w:t>
      </w:r>
      <w:r>
        <w:rPr>
          <w:rFonts w:ascii="Arial" w:hAnsi="Arial" w:cs="Arial"/>
        </w:rPr>
        <w:t xml:space="preserve"> is required to transfer course</w:t>
      </w:r>
      <w:r w:rsidRPr="002E2F2A">
        <w:rPr>
          <w:rFonts w:ascii="Arial" w:hAnsi="Arial" w:cs="Arial"/>
        </w:rPr>
        <w:t xml:space="preserve"> or move to another institution there are likely to be implications for student finance arrangements. </w:t>
      </w:r>
      <w:r w:rsidR="00214192">
        <w:rPr>
          <w:rFonts w:ascii="Arial" w:hAnsi="Arial" w:cs="Arial"/>
        </w:rPr>
        <w:t xml:space="preserve">Students will be supported by the HE </w:t>
      </w:r>
      <w:r w:rsidR="00D833B4">
        <w:rPr>
          <w:rFonts w:ascii="Arial" w:hAnsi="Arial" w:cs="Arial"/>
        </w:rPr>
        <w:t>Co-ordinator</w:t>
      </w:r>
      <w:r w:rsidR="00214192">
        <w:rPr>
          <w:rFonts w:ascii="Arial" w:hAnsi="Arial" w:cs="Arial"/>
        </w:rPr>
        <w:t xml:space="preserve"> and Student Advice.</w:t>
      </w:r>
    </w:p>
    <w:p w14:paraId="4DCA9A0B" w14:textId="77777777" w:rsidR="00583DBA" w:rsidRPr="002E2F2A" w:rsidRDefault="00583DBA" w:rsidP="00583DBA">
      <w:pPr>
        <w:spacing w:line="240" w:lineRule="auto"/>
        <w:rPr>
          <w:rFonts w:ascii="Arial" w:hAnsi="Arial" w:cs="Arial"/>
        </w:rPr>
      </w:pPr>
    </w:p>
    <w:p w14:paraId="70848098" w14:textId="77777777" w:rsidR="00D326BD" w:rsidRDefault="00D326BD" w:rsidP="00D326BD"/>
    <w:sectPr w:rsidR="00D326B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6D62" w14:textId="77777777" w:rsidR="009411D8" w:rsidRDefault="009411D8" w:rsidP="00FE327B">
      <w:pPr>
        <w:spacing w:after="0" w:line="240" w:lineRule="auto"/>
      </w:pPr>
      <w:r>
        <w:separator/>
      </w:r>
    </w:p>
  </w:endnote>
  <w:endnote w:type="continuationSeparator" w:id="0">
    <w:p w14:paraId="5CC4441B" w14:textId="77777777" w:rsidR="009411D8" w:rsidRDefault="009411D8" w:rsidP="00FE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977" w14:textId="77777777" w:rsidR="00D713F0" w:rsidRDefault="00D713F0">
    <w:pPr>
      <w:pStyle w:val="Footer"/>
    </w:pPr>
  </w:p>
  <w:tbl>
    <w:tblPr>
      <w:tblStyle w:val="TableGrid"/>
      <w:tblW w:w="0" w:type="auto"/>
      <w:tblInd w:w="-5" w:type="dxa"/>
      <w:tblLook w:val="04A0" w:firstRow="1" w:lastRow="0" w:firstColumn="1" w:lastColumn="0" w:noHBand="0" w:noVBand="1"/>
    </w:tblPr>
    <w:tblGrid>
      <w:gridCol w:w="1413"/>
      <w:gridCol w:w="1701"/>
      <w:gridCol w:w="2866"/>
      <w:gridCol w:w="3036"/>
    </w:tblGrid>
    <w:tr w:rsidR="006F6E46" w14:paraId="10471707" w14:textId="77777777" w:rsidTr="00214192">
      <w:tc>
        <w:tcPr>
          <w:tcW w:w="1413" w:type="dxa"/>
        </w:tcPr>
        <w:p w14:paraId="1BB96843" w14:textId="77777777" w:rsidR="00F72337" w:rsidRPr="00F72337" w:rsidRDefault="00F72337">
          <w:pPr>
            <w:pStyle w:val="Footer"/>
            <w:rPr>
              <w:b/>
            </w:rPr>
          </w:pPr>
          <w:r>
            <w:rPr>
              <w:b/>
            </w:rPr>
            <w:t>Ref</w:t>
          </w:r>
        </w:p>
      </w:tc>
      <w:tc>
        <w:tcPr>
          <w:tcW w:w="1701" w:type="dxa"/>
        </w:tcPr>
        <w:p w14:paraId="32E199E6" w14:textId="77777777" w:rsidR="00F72337" w:rsidRDefault="00583DBA">
          <w:pPr>
            <w:pStyle w:val="Footer"/>
          </w:pPr>
          <w:r>
            <w:t xml:space="preserve"> </w:t>
          </w:r>
        </w:p>
      </w:tc>
      <w:tc>
        <w:tcPr>
          <w:tcW w:w="2866" w:type="dxa"/>
        </w:tcPr>
        <w:p w14:paraId="13D9D1F1" w14:textId="77777777" w:rsidR="00F72337" w:rsidRPr="00F72337" w:rsidRDefault="00F72337">
          <w:pPr>
            <w:pStyle w:val="Footer"/>
            <w:rPr>
              <w:b/>
            </w:rPr>
          </w:pPr>
          <w:r>
            <w:rPr>
              <w:b/>
            </w:rPr>
            <w:t>Postholder Responsible for Review</w:t>
          </w:r>
        </w:p>
      </w:tc>
      <w:tc>
        <w:tcPr>
          <w:tcW w:w="3036" w:type="dxa"/>
        </w:tcPr>
        <w:p w14:paraId="2657C5AC" w14:textId="77777777" w:rsidR="00F72337" w:rsidRPr="00F72337" w:rsidRDefault="00F72337">
          <w:pPr>
            <w:pStyle w:val="Footer"/>
          </w:pPr>
          <w:r w:rsidRPr="00F72337">
            <w:t>Director of H</w:t>
          </w:r>
          <w:r>
            <w:t xml:space="preserve">igher </w:t>
          </w:r>
          <w:r w:rsidRPr="00F72337">
            <w:t>E</w:t>
          </w:r>
          <w:r>
            <w:t>ducation</w:t>
          </w:r>
        </w:p>
      </w:tc>
    </w:tr>
    <w:tr w:rsidR="00F72337" w14:paraId="0CB1D6B0" w14:textId="77777777" w:rsidTr="00214192">
      <w:tc>
        <w:tcPr>
          <w:tcW w:w="1413" w:type="dxa"/>
        </w:tcPr>
        <w:p w14:paraId="124B1C38" w14:textId="77777777" w:rsidR="00F72337" w:rsidRPr="00F72337" w:rsidRDefault="00F72337">
          <w:pPr>
            <w:pStyle w:val="Footer"/>
            <w:rPr>
              <w:b/>
            </w:rPr>
          </w:pPr>
          <w:r>
            <w:rPr>
              <w:b/>
            </w:rPr>
            <w:t>Issue Date</w:t>
          </w:r>
        </w:p>
      </w:tc>
      <w:tc>
        <w:tcPr>
          <w:tcW w:w="1701" w:type="dxa"/>
        </w:tcPr>
        <w:p w14:paraId="66865E6B" w14:textId="4A9FDF96" w:rsidR="00F72337" w:rsidRDefault="001902FB">
          <w:pPr>
            <w:pStyle w:val="Footer"/>
          </w:pPr>
          <w:r>
            <w:t>March</w:t>
          </w:r>
          <w:r w:rsidR="00AD016E">
            <w:t xml:space="preserve"> 20</w:t>
          </w:r>
          <w:r w:rsidR="00563165">
            <w:t>2</w:t>
          </w:r>
          <w:r w:rsidR="00967270">
            <w:t>1</w:t>
          </w:r>
        </w:p>
      </w:tc>
      <w:tc>
        <w:tcPr>
          <w:tcW w:w="2866" w:type="dxa"/>
        </w:tcPr>
        <w:p w14:paraId="4BE1130D" w14:textId="77777777" w:rsidR="00F72337" w:rsidRPr="00F72337" w:rsidRDefault="00F72337">
          <w:pPr>
            <w:pStyle w:val="Footer"/>
            <w:rPr>
              <w:b/>
            </w:rPr>
          </w:pPr>
          <w:r>
            <w:rPr>
              <w:b/>
            </w:rPr>
            <w:t>Review Date</w:t>
          </w:r>
        </w:p>
      </w:tc>
      <w:tc>
        <w:tcPr>
          <w:tcW w:w="0" w:type="auto"/>
        </w:tcPr>
        <w:p w14:paraId="14A4ADF2" w14:textId="6F991734" w:rsidR="00F72337" w:rsidRPr="00F72337" w:rsidRDefault="00967270">
          <w:pPr>
            <w:pStyle w:val="Footer"/>
          </w:pPr>
          <w:r>
            <w:t>March</w:t>
          </w:r>
          <w:r w:rsidR="00AD016E">
            <w:t xml:space="preserve"> 202</w:t>
          </w:r>
          <w:r>
            <w:t>2</w:t>
          </w:r>
        </w:p>
      </w:tc>
    </w:tr>
    <w:tr w:rsidR="00F72337" w14:paraId="7C8945B8" w14:textId="77777777" w:rsidTr="00214192">
      <w:tc>
        <w:tcPr>
          <w:tcW w:w="1413" w:type="dxa"/>
        </w:tcPr>
        <w:p w14:paraId="1D85D324" w14:textId="77777777" w:rsidR="00F72337" w:rsidRDefault="00F72337">
          <w:pPr>
            <w:pStyle w:val="Footer"/>
            <w:rPr>
              <w:b/>
            </w:rPr>
          </w:pPr>
          <w:r>
            <w:rPr>
              <w:b/>
            </w:rPr>
            <w:t>Issuing Authority</w:t>
          </w:r>
        </w:p>
      </w:tc>
      <w:tc>
        <w:tcPr>
          <w:tcW w:w="1701" w:type="dxa"/>
        </w:tcPr>
        <w:p w14:paraId="3201BE35" w14:textId="77777777" w:rsidR="00F72337" w:rsidRDefault="00EC0453">
          <w:pPr>
            <w:pStyle w:val="Footer"/>
          </w:pPr>
          <w:r>
            <w:t>HE Committee</w:t>
          </w:r>
        </w:p>
      </w:tc>
      <w:tc>
        <w:tcPr>
          <w:tcW w:w="2866" w:type="dxa"/>
        </w:tcPr>
        <w:p w14:paraId="07EABE97" w14:textId="77777777" w:rsidR="00F72337" w:rsidRPr="00F72337" w:rsidRDefault="00F72337">
          <w:pPr>
            <w:pStyle w:val="Footer"/>
            <w:rPr>
              <w:b/>
            </w:rPr>
          </w:pPr>
          <w:r>
            <w:rPr>
              <w:b/>
            </w:rPr>
            <w:t>Primary Distribution</w:t>
          </w:r>
        </w:p>
      </w:tc>
      <w:tc>
        <w:tcPr>
          <w:tcW w:w="0" w:type="auto"/>
        </w:tcPr>
        <w:p w14:paraId="539E5755" w14:textId="77777777" w:rsidR="00F72337" w:rsidRPr="00F72337" w:rsidRDefault="00EC0453">
          <w:pPr>
            <w:pStyle w:val="Footer"/>
          </w:pPr>
          <w:r>
            <w:t>HE Committee</w:t>
          </w:r>
        </w:p>
      </w:tc>
    </w:tr>
    <w:tr w:rsidR="00F72337" w14:paraId="71E634A5" w14:textId="77777777" w:rsidTr="00214192">
      <w:tc>
        <w:tcPr>
          <w:tcW w:w="1413" w:type="dxa"/>
        </w:tcPr>
        <w:p w14:paraId="3944AEFC" w14:textId="77777777" w:rsidR="00F72337" w:rsidRDefault="00F72337">
          <w:pPr>
            <w:pStyle w:val="Footer"/>
            <w:rPr>
              <w:b/>
            </w:rPr>
          </w:pPr>
          <w:r>
            <w:rPr>
              <w:b/>
            </w:rPr>
            <w:t xml:space="preserve">Version </w:t>
          </w:r>
        </w:p>
      </w:tc>
      <w:tc>
        <w:tcPr>
          <w:tcW w:w="1701" w:type="dxa"/>
        </w:tcPr>
        <w:p w14:paraId="1AF9DF3A" w14:textId="77777777" w:rsidR="00F72337" w:rsidRDefault="00F72337">
          <w:pPr>
            <w:pStyle w:val="Footer"/>
          </w:pPr>
          <w:r>
            <w:t>1</w:t>
          </w:r>
        </w:p>
      </w:tc>
      <w:tc>
        <w:tcPr>
          <w:tcW w:w="2866" w:type="dxa"/>
        </w:tcPr>
        <w:p w14:paraId="7EF57A33" w14:textId="77777777" w:rsidR="00F72337" w:rsidRPr="00F72337" w:rsidRDefault="00F72337">
          <w:pPr>
            <w:pStyle w:val="Footer"/>
            <w:rPr>
              <w:b/>
            </w:rPr>
          </w:pPr>
        </w:p>
      </w:tc>
      <w:tc>
        <w:tcPr>
          <w:tcW w:w="0" w:type="auto"/>
        </w:tcPr>
        <w:p w14:paraId="2A5DF755" w14:textId="77777777" w:rsidR="00F72337" w:rsidRPr="00F72337" w:rsidRDefault="00F72337">
          <w:pPr>
            <w:pStyle w:val="Footer"/>
          </w:pPr>
        </w:p>
      </w:tc>
    </w:tr>
  </w:tbl>
  <w:p w14:paraId="277E83B2" w14:textId="77777777" w:rsidR="00D713F0" w:rsidRDefault="00D713F0">
    <w:pPr>
      <w:pStyle w:val="Footer"/>
    </w:pPr>
  </w:p>
  <w:p w14:paraId="3B8F10EA" w14:textId="77777777" w:rsidR="00CB22DC" w:rsidRDefault="00CB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DE96" w14:textId="77777777" w:rsidR="009411D8" w:rsidRDefault="009411D8" w:rsidP="00FE327B">
      <w:pPr>
        <w:spacing w:after="0" w:line="240" w:lineRule="auto"/>
      </w:pPr>
      <w:r>
        <w:separator/>
      </w:r>
    </w:p>
  </w:footnote>
  <w:footnote w:type="continuationSeparator" w:id="0">
    <w:p w14:paraId="0487C83E" w14:textId="77777777" w:rsidR="009411D8" w:rsidRDefault="009411D8" w:rsidP="00FE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C31A" w14:textId="77777777" w:rsidR="00D713F0" w:rsidRDefault="00D713F0" w:rsidP="009729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7CB6"/>
    <w:multiLevelType w:val="hybridMultilevel"/>
    <w:tmpl w:val="421A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489"/>
    <w:multiLevelType w:val="hybridMultilevel"/>
    <w:tmpl w:val="12CA2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CD4"/>
    <w:multiLevelType w:val="hybridMultilevel"/>
    <w:tmpl w:val="416C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A04AB"/>
    <w:multiLevelType w:val="multilevel"/>
    <w:tmpl w:val="89A8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27A1A"/>
    <w:multiLevelType w:val="hybridMultilevel"/>
    <w:tmpl w:val="39CCD40A"/>
    <w:lvl w:ilvl="0" w:tplc="A42479A6">
      <w:start w:val="1"/>
      <w:numFmt w:val="lowerLetter"/>
      <w:lvlText w:val="(%1)"/>
      <w:lvlJc w:val="left"/>
      <w:pPr>
        <w:ind w:left="927" w:hanging="360"/>
      </w:pPr>
      <w:rPr>
        <w:rFonts w:hint="default"/>
        <w:color w:val="auto"/>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8B6647F"/>
    <w:multiLevelType w:val="hybridMultilevel"/>
    <w:tmpl w:val="64D8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8198F"/>
    <w:multiLevelType w:val="hybridMultilevel"/>
    <w:tmpl w:val="740A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A69C4"/>
    <w:multiLevelType w:val="hybridMultilevel"/>
    <w:tmpl w:val="363C25F6"/>
    <w:lvl w:ilvl="0" w:tplc="D76E28B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261AA"/>
    <w:multiLevelType w:val="hybridMultilevel"/>
    <w:tmpl w:val="29C2581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39249BF"/>
    <w:multiLevelType w:val="hybridMultilevel"/>
    <w:tmpl w:val="BD66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924F8"/>
    <w:multiLevelType w:val="hybridMultilevel"/>
    <w:tmpl w:val="E1C4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40E56"/>
    <w:multiLevelType w:val="hybridMultilevel"/>
    <w:tmpl w:val="541AEB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D0355"/>
    <w:multiLevelType w:val="hybridMultilevel"/>
    <w:tmpl w:val="5E7ACC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81754"/>
    <w:multiLevelType w:val="hybridMultilevel"/>
    <w:tmpl w:val="2C0A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02BE7"/>
    <w:multiLevelType w:val="hybridMultilevel"/>
    <w:tmpl w:val="E96C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C1487"/>
    <w:multiLevelType w:val="hybridMultilevel"/>
    <w:tmpl w:val="690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039D8"/>
    <w:multiLevelType w:val="hybridMultilevel"/>
    <w:tmpl w:val="A636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26536"/>
    <w:multiLevelType w:val="hybridMultilevel"/>
    <w:tmpl w:val="215C10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6"/>
  </w:num>
  <w:num w:numId="5">
    <w:abstractNumId w:val="3"/>
  </w:num>
  <w:num w:numId="6">
    <w:abstractNumId w:val="8"/>
  </w:num>
  <w:num w:numId="7">
    <w:abstractNumId w:val="0"/>
  </w:num>
  <w:num w:numId="8">
    <w:abstractNumId w:val="4"/>
  </w:num>
  <w:num w:numId="9">
    <w:abstractNumId w:val="17"/>
  </w:num>
  <w:num w:numId="10">
    <w:abstractNumId w:val="7"/>
  </w:num>
  <w:num w:numId="11">
    <w:abstractNumId w:val="5"/>
  </w:num>
  <w:num w:numId="12">
    <w:abstractNumId w:val="6"/>
  </w:num>
  <w:num w:numId="13">
    <w:abstractNumId w:val="2"/>
  </w:num>
  <w:num w:numId="14">
    <w:abstractNumId w:val="13"/>
  </w:num>
  <w:num w:numId="15">
    <w:abstractNumId w:val="9"/>
  </w:num>
  <w:num w:numId="16">
    <w:abstractNumId w:val="12"/>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3A"/>
    <w:rsid w:val="00002097"/>
    <w:rsid w:val="00002B42"/>
    <w:rsid w:val="000035AE"/>
    <w:rsid w:val="00013A54"/>
    <w:rsid w:val="0001582F"/>
    <w:rsid w:val="00022956"/>
    <w:rsid w:val="00026AFD"/>
    <w:rsid w:val="000350DE"/>
    <w:rsid w:val="000361A9"/>
    <w:rsid w:val="000430DE"/>
    <w:rsid w:val="00045496"/>
    <w:rsid w:val="00062475"/>
    <w:rsid w:val="00064B85"/>
    <w:rsid w:val="000676BC"/>
    <w:rsid w:val="000703CE"/>
    <w:rsid w:val="000708D6"/>
    <w:rsid w:val="00073585"/>
    <w:rsid w:val="00074090"/>
    <w:rsid w:val="00075A11"/>
    <w:rsid w:val="00085BFE"/>
    <w:rsid w:val="000867F3"/>
    <w:rsid w:val="000878E3"/>
    <w:rsid w:val="0009013E"/>
    <w:rsid w:val="00090DEB"/>
    <w:rsid w:val="00095795"/>
    <w:rsid w:val="00095900"/>
    <w:rsid w:val="000A0D71"/>
    <w:rsid w:val="000A292B"/>
    <w:rsid w:val="000A7749"/>
    <w:rsid w:val="000C2FF8"/>
    <w:rsid w:val="000D386B"/>
    <w:rsid w:val="000D5F61"/>
    <w:rsid w:val="000D791C"/>
    <w:rsid w:val="000E008F"/>
    <w:rsid w:val="000E0916"/>
    <w:rsid w:val="000E51FC"/>
    <w:rsid w:val="000E72C6"/>
    <w:rsid w:val="00103A4A"/>
    <w:rsid w:val="00106108"/>
    <w:rsid w:val="00122ECB"/>
    <w:rsid w:val="001318F6"/>
    <w:rsid w:val="00143C37"/>
    <w:rsid w:val="00144E22"/>
    <w:rsid w:val="001478BC"/>
    <w:rsid w:val="00150E8D"/>
    <w:rsid w:val="00151EED"/>
    <w:rsid w:val="001525D4"/>
    <w:rsid w:val="001557AD"/>
    <w:rsid w:val="00163615"/>
    <w:rsid w:val="0017072F"/>
    <w:rsid w:val="001753C0"/>
    <w:rsid w:val="00180416"/>
    <w:rsid w:val="001813E9"/>
    <w:rsid w:val="0018346F"/>
    <w:rsid w:val="001902FB"/>
    <w:rsid w:val="001A5E50"/>
    <w:rsid w:val="001A650F"/>
    <w:rsid w:val="001A6F1F"/>
    <w:rsid w:val="001B0125"/>
    <w:rsid w:val="001B17B6"/>
    <w:rsid w:val="001C165A"/>
    <w:rsid w:val="001C1E0D"/>
    <w:rsid w:val="001C2D93"/>
    <w:rsid w:val="001C4CF2"/>
    <w:rsid w:val="001C6AC2"/>
    <w:rsid w:val="001D1099"/>
    <w:rsid w:val="001D5A8A"/>
    <w:rsid w:val="001D6A1E"/>
    <w:rsid w:val="001D704F"/>
    <w:rsid w:val="001E03E0"/>
    <w:rsid w:val="001E0F03"/>
    <w:rsid w:val="001E5505"/>
    <w:rsid w:val="001E615B"/>
    <w:rsid w:val="001E798F"/>
    <w:rsid w:val="001F2009"/>
    <w:rsid w:val="001F32FF"/>
    <w:rsid w:val="001F3AE1"/>
    <w:rsid w:val="00200DE8"/>
    <w:rsid w:val="0020160E"/>
    <w:rsid w:val="00202D89"/>
    <w:rsid w:val="002038AE"/>
    <w:rsid w:val="00204BB5"/>
    <w:rsid w:val="00204D5A"/>
    <w:rsid w:val="00206A0B"/>
    <w:rsid w:val="00206AEB"/>
    <w:rsid w:val="0021023B"/>
    <w:rsid w:val="0021224D"/>
    <w:rsid w:val="00214049"/>
    <w:rsid w:val="00214192"/>
    <w:rsid w:val="00215BF2"/>
    <w:rsid w:val="00217A30"/>
    <w:rsid w:val="00220479"/>
    <w:rsid w:val="00224559"/>
    <w:rsid w:val="00224573"/>
    <w:rsid w:val="00225DC3"/>
    <w:rsid w:val="0023195E"/>
    <w:rsid w:val="00232D68"/>
    <w:rsid w:val="00237F8D"/>
    <w:rsid w:val="00250111"/>
    <w:rsid w:val="002528AD"/>
    <w:rsid w:val="002538B5"/>
    <w:rsid w:val="0026123E"/>
    <w:rsid w:val="00271C3C"/>
    <w:rsid w:val="00271CE0"/>
    <w:rsid w:val="002724EA"/>
    <w:rsid w:val="002766A5"/>
    <w:rsid w:val="00280911"/>
    <w:rsid w:val="0028580D"/>
    <w:rsid w:val="00293C44"/>
    <w:rsid w:val="002B14EF"/>
    <w:rsid w:val="002B35C8"/>
    <w:rsid w:val="002B6B49"/>
    <w:rsid w:val="002C1B68"/>
    <w:rsid w:val="002C2F54"/>
    <w:rsid w:val="002C666D"/>
    <w:rsid w:val="002C7DD8"/>
    <w:rsid w:val="002D1665"/>
    <w:rsid w:val="002E5C2C"/>
    <w:rsid w:val="002F0FDA"/>
    <w:rsid w:val="002F281A"/>
    <w:rsid w:val="002F2FDC"/>
    <w:rsid w:val="002F4F72"/>
    <w:rsid w:val="00300EBC"/>
    <w:rsid w:val="00300F9B"/>
    <w:rsid w:val="0030411A"/>
    <w:rsid w:val="00311AAC"/>
    <w:rsid w:val="00315BB8"/>
    <w:rsid w:val="0031753B"/>
    <w:rsid w:val="00324BC2"/>
    <w:rsid w:val="003316D1"/>
    <w:rsid w:val="00331DD2"/>
    <w:rsid w:val="003332C5"/>
    <w:rsid w:val="00333AD5"/>
    <w:rsid w:val="003340ED"/>
    <w:rsid w:val="00340033"/>
    <w:rsid w:val="00340597"/>
    <w:rsid w:val="0034471F"/>
    <w:rsid w:val="003452DD"/>
    <w:rsid w:val="0035240E"/>
    <w:rsid w:val="00355048"/>
    <w:rsid w:val="00356E7E"/>
    <w:rsid w:val="00360FBE"/>
    <w:rsid w:val="00362770"/>
    <w:rsid w:val="00363D7D"/>
    <w:rsid w:val="00371870"/>
    <w:rsid w:val="00371DFE"/>
    <w:rsid w:val="003751B0"/>
    <w:rsid w:val="00387E46"/>
    <w:rsid w:val="00387E68"/>
    <w:rsid w:val="0039146F"/>
    <w:rsid w:val="0039630A"/>
    <w:rsid w:val="003A2BE9"/>
    <w:rsid w:val="003A7AC8"/>
    <w:rsid w:val="003B22C6"/>
    <w:rsid w:val="003C58B1"/>
    <w:rsid w:val="003C6020"/>
    <w:rsid w:val="003D3DD4"/>
    <w:rsid w:val="003D45B1"/>
    <w:rsid w:val="003D77F2"/>
    <w:rsid w:val="003F052F"/>
    <w:rsid w:val="004006E2"/>
    <w:rsid w:val="00406019"/>
    <w:rsid w:val="00407C1E"/>
    <w:rsid w:val="00412498"/>
    <w:rsid w:val="00412EE1"/>
    <w:rsid w:val="004139EC"/>
    <w:rsid w:val="00413BF4"/>
    <w:rsid w:val="00413E7D"/>
    <w:rsid w:val="0041454F"/>
    <w:rsid w:val="00420C54"/>
    <w:rsid w:val="00422C9B"/>
    <w:rsid w:val="0042370E"/>
    <w:rsid w:val="0042796E"/>
    <w:rsid w:val="00430B19"/>
    <w:rsid w:val="004354AA"/>
    <w:rsid w:val="0044007D"/>
    <w:rsid w:val="004505CD"/>
    <w:rsid w:val="004510BA"/>
    <w:rsid w:val="00455172"/>
    <w:rsid w:val="00464DCC"/>
    <w:rsid w:val="00472664"/>
    <w:rsid w:val="00473D1C"/>
    <w:rsid w:val="004751D0"/>
    <w:rsid w:val="004755F0"/>
    <w:rsid w:val="004807E8"/>
    <w:rsid w:val="00485D31"/>
    <w:rsid w:val="004907A8"/>
    <w:rsid w:val="00490D5A"/>
    <w:rsid w:val="00492E96"/>
    <w:rsid w:val="00494BFB"/>
    <w:rsid w:val="004A3E41"/>
    <w:rsid w:val="004A5FC3"/>
    <w:rsid w:val="004B2826"/>
    <w:rsid w:val="004B4250"/>
    <w:rsid w:val="004B529A"/>
    <w:rsid w:val="004C026B"/>
    <w:rsid w:val="004C17EA"/>
    <w:rsid w:val="004D61C5"/>
    <w:rsid w:val="004D6CE7"/>
    <w:rsid w:val="004D7A46"/>
    <w:rsid w:val="004E17D5"/>
    <w:rsid w:val="004E45F1"/>
    <w:rsid w:val="004F28E2"/>
    <w:rsid w:val="004F2D34"/>
    <w:rsid w:val="004F77E9"/>
    <w:rsid w:val="005051DD"/>
    <w:rsid w:val="00505FA6"/>
    <w:rsid w:val="00512145"/>
    <w:rsid w:val="005151E8"/>
    <w:rsid w:val="005166B9"/>
    <w:rsid w:val="00522205"/>
    <w:rsid w:val="00525184"/>
    <w:rsid w:val="00531688"/>
    <w:rsid w:val="0053541E"/>
    <w:rsid w:val="00536BE3"/>
    <w:rsid w:val="005371D1"/>
    <w:rsid w:val="00542965"/>
    <w:rsid w:val="005429C5"/>
    <w:rsid w:val="005432EF"/>
    <w:rsid w:val="00543763"/>
    <w:rsid w:val="00544B94"/>
    <w:rsid w:val="00545D55"/>
    <w:rsid w:val="005513ED"/>
    <w:rsid w:val="0056299C"/>
    <w:rsid w:val="00563165"/>
    <w:rsid w:val="00565487"/>
    <w:rsid w:val="00565FAF"/>
    <w:rsid w:val="0056695C"/>
    <w:rsid w:val="00575F71"/>
    <w:rsid w:val="005760E1"/>
    <w:rsid w:val="00576859"/>
    <w:rsid w:val="00581141"/>
    <w:rsid w:val="005828E9"/>
    <w:rsid w:val="005835E3"/>
    <w:rsid w:val="00583DBA"/>
    <w:rsid w:val="005927FE"/>
    <w:rsid w:val="0059322A"/>
    <w:rsid w:val="00593367"/>
    <w:rsid w:val="00594CD3"/>
    <w:rsid w:val="005954A3"/>
    <w:rsid w:val="005A4060"/>
    <w:rsid w:val="005A5BBB"/>
    <w:rsid w:val="005B27B5"/>
    <w:rsid w:val="005B2A7C"/>
    <w:rsid w:val="005B4B8B"/>
    <w:rsid w:val="005C49EA"/>
    <w:rsid w:val="005C75F2"/>
    <w:rsid w:val="005E496A"/>
    <w:rsid w:val="005F49EE"/>
    <w:rsid w:val="005F7A39"/>
    <w:rsid w:val="00613BB5"/>
    <w:rsid w:val="00614BFA"/>
    <w:rsid w:val="00623C3C"/>
    <w:rsid w:val="00623E12"/>
    <w:rsid w:val="0062455B"/>
    <w:rsid w:val="00640470"/>
    <w:rsid w:val="00644E8B"/>
    <w:rsid w:val="0064529F"/>
    <w:rsid w:val="0064563A"/>
    <w:rsid w:val="0064598E"/>
    <w:rsid w:val="006517DD"/>
    <w:rsid w:val="00653FE8"/>
    <w:rsid w:val="0066394A"/>
    <w:rsid w:val="00670AD8"/>
    <w:rsid w:val="006714F9"/>
    <w:rsid w:val="00673591"/>
    <w:rsid w:val="00676A16"/>
    <w:rsid w:val="00680914"/>
    <w:rsid w:val="00682B6D"/>
    <w:rsid w:val="00684707"/>
    <w:rsid w:val="00687434"/>
    <w:rsid w:val="00691B52"/>
    <w:rsid w:val="00695324"/>
    <w:rsid w:val="006A4753"/>
    <w:rsid w:val="006B19F2"/>
    <w:rsid w:val="006B2799"/>
    <w:rsid w:val="006B6826"/>
    <w:rsid w:val="006B7B8F"/>
    <w:rsid w:val="006D4575"/>
    <w:rsid w:val="006D61E7"/>
    <w:rsid w:val="006D7578"/>
    <w:rsid w:val="006E168E"/>
    <w:rsid w:val="006E53DB"/>
    <w:rsid w:val="006E77E9"/>
    <w:rsid w:val="006F203B"/>
    <w:rsid w:val="006F6E46"/>
    <w:rsid w:val="006F6FC0"/>
    <w:rsid w:val="006F75BD"/>
    <w:rsid w:val="006F79E8"/>
    <w:rsid w:val="00702F24"/>
    <w:rsid w:val="007244F6"/>
    <w:rsid w:val="007304D4"/>
    <w:rsid w:val="00733371"/>
    <w:rsid w:val="007355ED"/>
    <w:rsid w:val="00736405"/>
    <w:rsid w:val="00737490"/>
    <w:rsid w:val="00746B00"/>
    <w:rsid w:val="00747011"/>
    <w:rsid w:val="00750DCE"/>
    <w:rsid w:val="00751560"/>
    <w:rsid w:val="00751D70"/>
    <w:rsid w:val="00757B96"/>
    <w:rsid w:val="00774E45"/>
    <w:rsid w:val="0077790E"/>
    <w:rsid w:val="007940BB"/>
    <w:rsid w:val="0079540A"/>
    <w:rsid w:val="00797341"/>
    <w:rsid w:val="007A18B3"/>
    <w:rsid w:val="007A18BB"/>
    <w:rsid w:val="007A193C"/>
    <w:rsid w:val="007B3AEE"/>
    <w:rsid w:val="007B7D45"/>
    <w:rsid w:val="007B7E90"/>
    <w:rsid w:val="007C1A94"/>
    <w:rsid w:val="007C5213"/>
    <w:rsid w:val="007D1257"/>
    <w:rsid w:val="007E0AC1"/>
    <w:rsid w:val="007E15E0"/>
    <w:rsid w:val="007E6F07"/>
    <w:rsid w:val="007E76B9"/>
    <w:rsid w:val="007E7D9D"/>
    <w:rsid w:val="008076CE"/>
    <w:rsid w:val="00807E81"/>
    <w:rsid w:val="00821B07"/>
    <w:rsid w:val="008231EB"/>
    <w:rsid w:val="00832EBC"/>
    <w:rsid w:val="008347F7"/>
    <w:rsid w:val="00835341"/>
    <w:rsid w:val="00840C66"/>
    <w:rsid w:val="00857A51"/>
    <w:rsid w:val="00863185"/>
    <w:rsid w:val="00863466"/>
    <w:rsid w:val="008639CF"/>
    <w:rsid w:val="00863DB9"/>
    <w:rsid w:val="0086613D"/>
    <w:rsid w:val="00871627"/>
    <w:rsid w:val="00871FAD"/>
    <w:rsid w:val="008720CF"/>
    <w:rsid w:val="008758A8"/>
    <w:rsid w:val="00877E60"/>
    <w:rsid w:val="00892327"/>
    <w:rsid w:val="008A066B"/>
    <w:rsid w:val="008A0B2A"/>
    <w:rsid w:val="008A1EAC"/>
    <w:rsid w:val="008A3E6D"/>
    <w:rsid w:val="008A79CB"/>
    <w:rsid w:val="008B246F"/>
    <w:rsid w:val="008C33A2"/>
    <w:rsid w:val="008C450D"/>
    <w:rsid w:val="008D21D8"/>
    <w:rsid w:val="008E47F6"/>
    <w:rsid w:val="009005EB"/>
    <w:rsid w:val="00900CB4"/>
    <w:rsid w:val="00901324"/>
    <w:rsid w:val="009018DB"/>
    <w:rsid w:val="00906D87"/>
    <w:rsid w:val="00907429"/>
    <w:rsid w:val="00920DC3"/>
    <w:rsid w:val="0092383A"/>
    <w:rsid w:val="00925385"/>
    <w:rsid w:val="00926C72"/>
    <w:rsid w:val="009315A1"/>
    <w:rsid w:val="00931913"/>
    <w:rsid w:val="009411D8"/>
    <w:rsid w:val="0094126C"/>
    <w:rsid w:val="00941334"/>
    <w:rsid w:val="009635F1"/>
    <w:rsid w:val="00964200"/>
    <w:rsid w:val="00967270"/>
    <w:rsid w:val="0097029B"/>
    <w:rsid w:val="00970585"/>
    <w:rsid w:val="009709DE"/>
    <w:rsid w:val="00971586"/>
    <w:rsid w:val="009729F9"/>
    <w:rsid w:val="009735DE"/>
    <w:rsid w:val="0097489C"/>
    <w:rsid w:val="009770C9"/>
    <w:rsid w:val="00981557"/>
    <w:rsid w:val="00984E49"/>
    <w:rsid w:val="00987181"/>
    <w:rsid w:val="00987B47"/>
    <w:rsid w:val="00993F9F"/>
    <w:rsid w:val="00994ADD"/>
    <w:rsid w:val="00995182"/>
    <w:rsid w:val="009A1349"/>
    <w:rsid w:val="009A4925"/>
    <w:rsid w:val="009A7EF5"/>
    <w:rsid w:val="009B4A2E"/>
    <w:rsid w:val="009C09B8"/>
    <w:rsid w:val="009D0BE1"/>
    <w:rsid w:val="009E5B2C"/>
    <w:rsid w:val="009E5DB5"/>
    <w:rsid w:val="009F253F"/>
    <w:rsid w:val="009F30E2"/>
    <w:rsid w:val="009F79DF"/>
    <w:rsid w:val="009F7D29"/>
    <w:rsid w:val="009F7F7B"/>
    <w:rsid w:val="00A0053C"/>
    <w:rsid w:val="00A03515"/>
    <w:rsid w:val="00A17A05"/>
    <w:rsid w:val="00A21F33"/>
    <w:rsid w:val="00A31684"/>
    <w:rsid w:val="00A321CB"/>
    <w:rsid w:val="00A340EE"/>
    <w:rsid w:val="00A34956"/>
    <w:rsid w:val="00A358F0"/>
    <w:rsid w:val="00A443B1"/>
    <w:rsid w:val="00A45D01"/>
    <w:rsid w:val="00A509C0"/>
    <w:rsid w:val="00A515BB"/>
    <w:rsid w:val="00A52694"/>
    <w:rsid w:val="00A6125C"/>
    <w:rsid w:val="00A65603"/>
    <w:rsid w:val="00A6609F"/>
    <w:rsid w:val="00A7712E"/>
    <w:rsid w:val="00A823AC"/>
    <w:rsid w:val="00A845C6"/>
    <w:rsid w:val="00A87D22"/>
    <w:rsid w:val="00A901C1"/>
    <w:rsid w:val="00A92EE8"/>
    <w:rsid w:val="00A93C26"/>
    <w:rsid w:val="00A943AA"/>
    <w:rsid w:val="00AA508E"/>
    <w:rsid w:val="00AA78DC"/>
    <w:rsid w:val="00AB599D"/>
    <w:rsid w:val="00AC2CE9"/>
    <w:rsid w:val="00AC38CF"/>
    <w:rsid w:val="00AD016E"/>
    <w:rsid w:val="00AD186F"/>
    <w:rsid w:val="00AD53D6"/>
    <w:rsid w:val="00AD7D60"/>
    <w:rsid w:val="00AF1625"/>
    <w:rsid w:val="00AF19FE"/>
    <w:rsid w:val="00AF2D76"/>
    <w:rsid w:val="00AF696F"/>
    <w:rsid w:val="00B12A7E"/>
    <w:rsid w:val="00B161DE"/>
    <w:rsid w:val="00B354A0"/>
    <w:rsid w:val="00B3786E"/>
    <w:rsid w:val="00B44A5B"/>
    <w:rsid w:val="00B47F4A"/>
    <w:rsid w:val="00B50629"/>
    <w:rsid w:val="00B514BE"/>
    <w:rsid w:val="00B52EEA"/>
    <w:rsid w:val="00B54D1F"/>
    <w:rsid w:val="00B557A5"/>
    <w:rsid w:val="00B61AC0"/>
    <w:rsid w:val="00B6614D"/>
    <w:rsid w:val="00B66788"/>
    <w:rsid w:val="00B71B58"/>
    <w:rsid w:val="00B76F9E"/>
    <w:rsid w:val="00B77EC2"/>
    <w:rsid w:val="00B80527"/>
    <w:rsid w:val="00B8075F"/>
    <w:rsid w:val="00B82D3E"/>
    <w:rsid w:val="00B95197"/>
    <w:rsid w:val="00B97CDF"/>
    <w:rsid w:val="00BB5CE5"/>
    <w:rsid w:val="00BC1DD1"/>
    <w:rsid w:val="00BC53ED"/>
    <w:rsid w:val="00BD2C4D"/>
    <w:rsid w:val="00BE1C93"/>
    <w:rsid w:val="00BE1CBB"/>
    <w:rsid w:val="00BE24CC"/>
    <w:rsid w:val="00BE2A61"/>
    <w:rsid w:val="00BF4622"/>
    <w:rsid w:val="00BF655B"/>
    <w:rsid w:val="00BF79B7"/>
    <w:rsid w:val="00C017C4"/>
    <w:rsid w:val="00C0625F"/>
    <w:rsid w:val="00C152D6"/>
    <w:rsid w:val="00C20A42"/>
    <w:rsid w:val="00C23F87"/>
    <w:rsid w:val="00C3239A"/>
    <w:rsid w:val="00C3336A"/>
    <w:rsid w:val="00C35487"/>
    <w:rsid w:val="00C408D8"/>
    <w:rsid w:val="00C4529E"/>
    <w:rsid w:val="00C4690D"/>
    <w:rsid w:val="00C51719"/>
    <w:rsid w:val="00C5264A"/>
    <w:rsid w:val="00C52740"/>
    <w:rsid w:val="00C64D0E"/>
    <w:rsid w:val="00C75422"/>
    <w:rsid w:val="00C77A55"/>
    <w:rsid w:val="00C82B0A"/>
    <w:rsid w:val="00C85603"/>
    <w:rsid w:val="00C87A2D"/>
    <w:rsid w:val="00CB0DD5"/>
    <w:rsid w:val="00CB129B"/>
    <w:rsid w:val="00CB22DC"/>
    <w:rsid w:val="00CB233F"/>
    <w:rsid w:val="00CB3FD1"/>
    <w:rsid w:val="00CB4A65"/>
    <w:rsid w:val="00CB6B96"/>
    <w:rsid w:val="00CC04A4"/>
    <w:rsid w:val="00CC50D7"/>
    <w:rsid w:val="00CE491D"/>
    <w:rsid w:val="00CE5611"/>
    <w:rsid w:val="00CE690A"/>
    <w:rsid w:val="00CE6938"/>
    <w:rsid w:val="00CE708B"/>
    <w:rsid w:val="00CE70A2"/>
    <w:rsid w:val="00CE7D7C"/>
    <w:rsid w:val="00CF1998"/>
    <w:rsid w:val="00CF1C5C"/>
    <w:rsid w:val="00CF377F"/>
    <w:rsid w:val="00CF6A1B"/>
    <w:rsid w:val="00CF7027"/>
    <w:rsid w:val="00D01C00"/>
    <w:rsid w:val="00D01CAD"/>
    <w:rsid w:val="00D13EEC"/>
    <w:rsid w:val="00D14C3F"/>
    <w:rsid w:val="00D26124"/>
    <w:rsid w:val="00D27BF6"/>
    <w:rsid w:val="00D30968"/>
    <w:rsid w:val="00D30C78"/>
    <w:rsid w:val="00D324F9"/>
    <w:rsid w:val="00D326BD"/>
    <w:rsid w:val="00D33B4C"/>
    <w:rsid w:val="00D35D71"/>
    <w:rsid w:val="00D42F14"/>
    <w:rsid w:val="00D4333B"/>
    <w:rsid w:val="00D52ABB"/>
    <w:rsid w:val="00D538C2"/>
    <w:rsid w:val="00D5413F"/>
    <w:rsid w:val="00D56341"/>
    <w:rsid w:val="00D61669"/>
    <w:rsid w:val="00D616A4"/>
    <w:rsid w:val="00D65EB6"/>
    <w:rsid w:val="00D6684D"/>
    <w:rsid w:val="00D713F0"/>
    <w:rsid w:val="00D72707"/>
    <w:rsid w:val="00D75086"/>
    <w:rsid w:val="00D76620"/>
    <w:rsid w:val="00D80292"/>
    <w:rsid w:val="00D833B4"/>
    <w:rsid w:val="00D90427"/>
    <w:rsid w:val="00D9221B"/>
    <w:rsid w:val="00DB3463"/>
    <w:rsid w:val="00DB42EA"/>
    <w:rsid w:val="00DC0792"/>
    <w:rsid w:val="00DC4178"/>
    <w:rsid w:val="00DC47B0"/>
    <w:rsid w:val="00DD40A8"/>
    <w:rsid w:val="00DD6FE5"/>
    <w:rsid w:val="00DE2F85"/>
    <w:rsid w:val="00DE646D"/>
    <w:rsid w:val="00DE7DE6"/>
    <w:rsid w:val="00DF252F"/>
    <w:rsid w:val="00DF59C1"/>
    <w:rsid w:val="00E06887"/>
    <w:rsid w:val="00E07588"/>
    <w:rsid w:val="00E12569"/>
    <w:rsid w:val="00E15157"/>
    <w:rsid w:val="00E1525D"/>
    <w:rsid w:val="00E15CD1"/>
    <w:rsid w:val="00E242C9"/>
    <w:rsid w:val="00E25793"/>
    <w:rsid w:val="00E33A42"/>
    <w:rsid w:val="00E42DF5"/>
    <w:rsid w:val="00E4735F"/>
    <w:rsid w:val="00E5125D"/>
    <w:rsid w:val="00E56B5E"/>
    <w:rsid w:val="00E60753"/>
    <w:rsid w:val="00E65AA9"/>
    <w:rsid w:val="00E7320D"/>
    <w:rsid w:val="00E73D50"/>
    <w:rsid w:val="00E74BCF"/>
    <w:rsid w:val="00E80AE8"/>
    <w:rsid w:val="00E81612"/>
    <w:rsid w:val="00E94E2D"/>
    <w:rsid w:val="00E9563C"/>
    <w:rsid w:val="00E974C7"/>
    <w:rsid w:val="00EA02CF"/>
    <w:rsid w:val="00EA0E23"/>
    <w:rsid w:val="00EA3E33"/>
    <w:rsid w:val="00EB04B6"/>
    <w:rsid w:val="00EB1739"/>
    <w:rsid w:val="00EC0453"/>
    <w:rsid w:val="00ED0A05"/>
    <w:rsid w:val="00ED1E90"/>
    <w:rsid w:val="00ED3E0A"/>
    <w:rsid w:val="00ED41DC"/>
    <w:rsid w:val="00ED498D"/>
    <w:rsid w:val="00ED5F6A"/>
    <w:rsid w:val="00EE0B24"/>
    <w:rsid w:val="00EE65B9"/>
    <w:rsid w:val="00EF76C3"/>
    <w:rsid w:val="00F04079"/>
    <w:rsid w:val="00F04D5E"/>
    <w:rsid w:val="00F06431"/>
    <w:rsid w:val="00F16AA2"/>
    <w:rsid w:val="00F22AA8"/>
    <w:rsid w:val="00F32A8A"/>
    <w:rsid w:val="00F3766D"/>
    <w:rsid w:val="00F37E36"/>
    <w:rsid w:val="00F4032A"/>
    <w:rsid w:val="00F42EF8"/>
    <w:rsid w:val="00F44B69"/>
    <w:rsid w:val="00F454C9"/>
    <w:rsid w:val="00F46835"/>
    <w:rsid w:val="00F50623"/>
    <w:rsid w:val="00F52352"/>
    <w:rsid w:val="00F54EA1"/>
    <w:rsid w:val="00F55C67"/>
    <w:rsid w:val="00F5659D"/>
    <w:rsid w:val="00F6288F"/>
    <w:rsid w:val="00F641E3"/>
    <w:rsid w:val="00F66692"/>
    <w:rsid w:val="00F72337"/>
    <w:rsid w:val="00F72880"/>
    <w:rsid w:val="00F774AF"/>
    <w:rsid w:val="00F776D9"/>
    <w:rsid w:val="00F80686"/>
    <w:rsid w:val="00F81A1B"/>
    <w:rsid w:val="00F82891"/>
    <w:rsid w:val="00F860E1"/>
    <w:rsid w:val="00F876F9"/>
    <w:rsid w:val="00F91FD7"/>
    <w:rsid w:val="00F96EE5"/>
    <w:rsid w:val="00FA0BDD"/>
    <w:rsid w:val="00FB0107"/>
    <w:rsid w:val="00FB51FB"/>
    <w:rsid w:val="00FC01A8"/>
    <w:rsid w:val="00FC0351"/>
    <w:rsid w:val="00FC0579"/>
    <w:rsid w:val="00FC34F7"/>
    <w:rsid w:val="00FC508D"/>
    <w:rsid w:val="00FE23DA"/>
    <w:rsid w:val="00FE327B"/>
    <w:rsid w:val="00FE51DD"/>
    <w:rsid w:val="00FF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FD5F9"/>
  <w15:chartTrackingRefBased/>
  <w15:docId w15:val="{D4174229-8908-4108-9AB8-280199B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7B"/>
  </w:style>
  <w:style w:type="paragraph" w:styleId="Footer">
    <w:name w:val="footer"/>
    <w:basedOn w:val="Normal"/>
    <w:link w:val="FooterChar"/>
    <w:uiPriority w:val="99"/>
    <w:unhideWhenUsed/>
    <w:rsid w:val="00FE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7B"/>
  </w:style>
  <w:style w:type="paragraph" w:styleId="ListParagraph">
    <w:name w:val="List Paragraph"/>
    <w:basedOn w:val="Normal"/>
    <w:uiPriority w:val="34"/>
    <w:qFormat/>
    <w:rsid w:val="00FE327B"/>
    <w:pPr>
      <w:ind w:left="720"/>
      <w:contextualSpacing/>
    </w:pPr>
  </w:style>
  <w:style w:type="character" w:styleId="Hyperlink">
    <w:name w:val="Hyperlink"/>
    <w:uiPriority w:val="99"/>
    <w:unhideWhenUsed/>
    <w:rsid w:val="007244F6"/>
    <w:rPr>
      <w:color w:val="0563C1"/>
      <w:u w:val="single"/>
    </w:rPr>
  </w:style>
  <w:style w:type="paragraph" w:styleId="NormalWeb">
    <w:name w:val="Normal (Web)"/>
    <w:basedOn w:val="Normal"/>
    <w:uiPriority w:val="99"/>
    <w:unhideWhenUsed/>
    <w:rsid w:val="00A34956"/>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A34956"/>
    <w:rPr>
      <w:b/>
      <w:bCs/>
    </w:rPr>
  </w:style>
  <w:style w:type="character" w:styleId="FollowedHyperlink">
    <w:name w:val="FollowedHyperlink"/>
    <w:uiPriority w:val="99"/>
    <w:semiHidden/>
    <w:unhideWhenUsed/>
    <w:rsid w:val="00FA0BDD"/>
    <w:rPr>
      <w:color w:val="954F72"/>
      <w:u w:val="single"/>
    </w:rPr>
  </w:style>
  <w:style w:type="paragraph" w:styleId="PlainText">
    <w:name w:val="Plain Text"/>
    <w:basedOn w:val="Normal"/>
    <w:link w:val="PlainTextChar"/>
    <w:uiPriority w:val="99"/>
    <w:semiHidden/>
    <w:unhideWhenUsed/>
    <w:rsid w:val="00981557"/>
    <w:pPr>
      <w:spacing w:after="0" w:line="240" w:lineRule="auto"/>
    </w:pPr>
    <w:rPr>
      <w:rFonts w:cs="Consolas"/>
      <w:szCs w:val="21"/>
    </w:rPr>
  </w:style>
  <w:style w:type="character" w:customStyle="1" w:styleId="PlainTextChar">
    <w:name w:val="Plain Text Char"/>
    <w:link w:val="PlainText"/>
    <w:uiPriority w:val="99"/>
    <w:semiHidden/>
    <w:rsid w:val="00981557"/>
    <w:rPr>
      <w:rFonts w:ascii="Calibri" w:hAnsi="Calibri" w:cs="Consolas"/>
      <w:szCs w:val="21"/>
    </w:rPr>
  </w:style>
  <w:style w:type="character" w:customStyle="1" w:styleId="searchword">
    <w:name w:val="searchword"/>
    <w:basedOn w:val="DefaultParagraphFont"/>
    <w:rsid w:val="00494BFB"/>
  </w:style>
  <w:style w:type="character" w:styleId="CommentReference">
    <w:name w:val="annotation reference"/>
    <w:uiPriority w:val="99"/>
    <w:semiHidden/>
    <w:unhideWhenUsed/>
    <w:rsid w:val="00494BFB"/>
    <w:rPr>
      <w:sz w:val="16"/>
      <w:szCs w:val="16"/>
    </w:rPr>
  </w:style>
  <w:style w:type="paragraph" w:styleId="CommentText">
    <w:name w:val="annotation text"/>
    <w:basedOn w:val="Normal"/>
    <w:link w:val="CommentTextChar"/>
    <w:uiPriority w:val="99"/>
    <w:semiHidden/>
    <w:unhideWhenUsed/>
    <w:rsid w:val="00494BFB"/>
    <w:pPr>
      <w:spacing w:line="240" w:lineRule="auto"/>
    </w:pPr>
    <w:rPr>
      <w:sz w:val="20"/>
      <w:szCs w:val="20"/>
    </w:rPr>
  </w:style>
  <w:style w:type="character" w:customStyle="1" w:styleId="CommentTextChar">
    <w:name w:val="Comment Text Char"/>
    <w:link w:val="CommentText"/>
    <w:uiPriority w:val="99"/>
    <w:semiHidden/>
    <w:rsid w:val="00494BFB"/>
    <w:rPr>
      <w:sz w:val="20"/>
      <w:szCs w:val="20"/>
    </w:rPr>
  </w:style>
  <w:style w:type="paragraph" w:styleId="CommentSubject">
    <w:name w:val="annotation subject"/>
    <w:basedOn w:val="CommentText"/>
    <w:next w:val="CommentText"/>
    <w:link w:val="CommentSubjectChar"/>
    <w:uiPriority w:val="99"/>
    <w:semiHidden/>
    <w:unhideWhenUsed/>
    <w:rsid w:val="00494BFB"/>
    <w:rPr>
      <w:b/>
      <w:bCs/>
    </w:rPr>
  </w:style>
  <w:style w:type="character" w:customStyle="1" w:styleId="CommentSubjectChar">
    <w:name w:val="Comment Subject Char"/>
    <w:link w:val="CommentSubject"/>
    <w:uiPriority w:val="99"/>
    <w:semiHidden/>
    <w:rsid w:val="00494BFB"/>
    <w:rPr>
      <w:b/>
      <w:bCs/>
      <w:sz w:val="20"/>
      <w:szCs w:val="20"/>
    </w:rPr>
  </w:style>
  <w:style w:type="paragraph" w:styleId="BalloonText">
    <w:name w:val="Balloon Text"/>
    <w:basedOn w:val="Normal"/>
    <w:link w:val="BalloonTextChar"/>
    <w:uiPriority w:val="99"/>
    <w:semiHidden/>
    <w:unhideWhenUsed/>
    <w:rsid w:val="00494B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BFB"/>
    <w:rPr>
      <w:rFonts w:ascii="Tahoma" w:hAnsi="Tahoma" w:cs="Tahoma"/>
      <w:sz w:val="16"/>
      <w:szCs w:val="16"/>
    </w:rPr>
  </w:style>
  <w:style w:type="paragraph" w:customStyle="1" w:styleId="Default">
    <w:name w:val="Default"/>
    <w:rsid w:val="00863DB9"/>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4C026B"/>
    <w:rPr>
      <w:b/>
      <w:bCs/>
      <w:i w:val="0"/>
      <w:iCs w:val="0"/>
    </w:rPr>
  </w:style>
  <w:style w:type="character" w:customStyle="1" w:styleId="st1">
    <w:name w:val="st1"/>
    <w:basedOn w:val="DefaultParagraphFont"/>
    <w:rsid w:val="004C026B"/>
  </w:style>
  <w:style w:type="paragraph" w:styleId="Revision">
    <w:name w:val="Revision"/>
    <w:hidden/>
    <w:uiPriority w:val="99"/>
    <w:semiHidden/>
    <w:rsid w:val="007B3AEE"/>
    <w:rPr>
      <w:sz w:val="22"/>
      <w:szCs w:val="22"/>
      <w:lang w:eastAsia="en-US"/>
    </w:rPr>
  </w:style>
  <w:style w:type="paragraph" w:customStyle="1" w:styleId="NormalSpaced">
    <w:name w:val="NormalSpaced"/>
    <w:basedOn w:val="Normal"/>
    <w:next w:val="Normal"/>
    <w:rsid w:val="001E798F"/>
    <w:pPr>
      <w:spacing w:after="240" w:line="300" w:lineRule="atLeast"/>
      <w:jc w:val="both"/>
    </w:pPr>
    <w:rPr>
      <w:rFonts w:ascii="Times New Roman" w:eastAsia="Times New Roman" w:hAnsi="Times New Roman"/>
      <w:szCs w:val="20"/>
    </w:rPr>
  </w:style>
  <w:style w:type="character" w:customStyle="1" w:styleId="apple-converted-space">
    <w:name w:val="apple-converted-space"/>
    <w:basedOn w:val="DefaultParagraphFont"/>
    <w:rsid w:val="00333AD5"/>
  </w:style>
  <w:style w:type="paragraph" w:customStyle="1" w:styleId="Bodytext">
    <w:name w:val="Bodytext"/>
    <w:basedOn w:val="Normal"/>
    <w:rsid w:val="00430B19"/>
    <w:pPr>
      <w:spacing w:after="0" w:line="260" w:lineRule="atLeast"/>
    </w:pPr>
    <w:rPr>
      <w:rFonts w:ascii="NewCenturySchlbk" w:eastAsia="Times New Roman" w:hAnsi="NewCenturySchlbk"/>
      <w:sz w:val="20"/>
      <w:szCs w:val="20"/>
    </w:rPr>
  </w:style>
  <w:style w:type="table" w:styleId="TableGrid">
    <w:name w:val="Table Grid"/>
    <w:basedOn w:val="TableNormal"/>
    <w:rsid w:val="00D7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bullet">
    <w:name w:val="RF bullet"/>
    <w:basedOn w:val="Normal"/>
    <w:autoRedefine/>
    <w:qFormat/>
    <w:rsid w:val="00583DBA"/>
    <w:pPr>
      <w:spacing w:after="220" w:line="264" w:lineRule="auto"/>
    </w:pPr>
    <w:rPr>
      <w:rFonts w:ascii="Arial" w:hAnsi="Arial" w:cs="Arial"/>
      <w:szCs w:val="24"/>
    </w:rPr>
  </w:style>
  <w:style w:type="character" w:styleId="FootnoteReference">
    <w:name w:val="footnote reference"/>
    <w:basedOn w:val="DefaultParagraphFont"/>
    <w:uiPriority w:val="99"/>
    <w:semiHidden/>
    <w:unhideWhenUsed/>
    <w:rsid w:val="00583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806">
      <w:bodyDiv w:val="1"/>
      <w:marLeft w:val="0"/>
      <w:marRight w:val="0"/>
      <w:marTop w:val="0"/>
      <w:marBottom w:val="0"/>
      <w:divBdr>
        <w:top w:val="none" w:sz="0" w:space="0" w:color="auto"/>
        <w:left w:val="none" w:sz="0" w:space="0" w:color="auto"/>
        <w:bottom w:val="none" w:sz="0" w:space="0" w:color="auto"/>
        <w:right w:val="none" w:sz="0" w:space="0" w:color="auto"/>
      </w:divBdr>
    </w:div>
    <w:div w:id="127430618">
      <w:bodyDiv w:val="1"/>
      <w:marLeft w:val="0"/>
      <w:marRight w:val="0"/>
      <w:marTop w:val="0"/>
      <w:marBottom w:val="0"/>
      <w:divBdr>
        <w:top w:val="none" w:sz="0" w:space="0" w:color="auto"/>
        <w:left w:val="none" w:sz="0" w:space="0" w:color="auto"/>
        <w:bottom w:val="none" w:sz="0" w:space="0" w:color="auto"/>
        <w:right w:val="none" w:sz="0" w:space="0" w:color="auto"/>
      </w:divBdr>
    </w:div>
    <w:div w:id="264534100">
      <w:bodyDiv w:val="1"/>
      <w:marLeft w:val="0"/>
      <w:marRight w:val="0"/>
      <w:marTop w:val="0"/>
      <w:marBottom w:val="0"/>
      <w:divBdr>
        <w:top w:val="none" w:sz="0" w:space="0" w:color="auto"/>
        <w:left w:val="none" w:sz="0" w:space="0" w:color="auto"/>
        <w:bottom w:val="none" w:sz="0" w:space="0" w:color="auto"/>
        <w:right w:val="none" w:sz="0" w:space="0" w:color="auto"/>
      </w:divBdr>
    </w:div>
    <w:div w:id="673916246">
      <w:bodyDiv w:val="1"/>
      <w:marLeft w:val="0"/>
      <w:marRight w:val="0"/>
      <w:marTop w:val="0"/>
      <w:marBottom w:val="0"/>
      <w:divBdr>
        <w:top w:val="none" w:sz="0" w:space="0" w:color="auto"/>
        <w:left w:val="none" w:sz="0" w:space="0" w:color="auto"/>
        <w:bottom w:val="none" w:sz="0" w:space="0" w:color="auto"/>
        <w:right w:val="none" w:sz="0" w:space="0" w:color="auto"/>
      </w:divBdr>
    </w:div>
    <w:div w:id="1459882156">
      <w:bodyDiv w:val="1"/>
      <w:marLeft w:val="0"/>
      <w:marRight w:val="0"/>
      <w:marTop w:val="0"/>
      <w:marBottom w:val="0"/>
      <w:divBdr>
        <w:top w:val="none" w:sz="0" w:space="0" w:color="auto"/>
        <w:left w:val="none" w:sz="0" w:space="0" w:color="auto"/>
        <w:bottom w:val="none" w:sz="0" w:space="0" w:color="auto"/>
        <w:right w:val="none" w:sz="0" w:space="0" w:color="auto"/>
      </w:divBdr>
      <w:divsChild>
        <w:div w:id="2085448911">
          <w:marLeft w:val="0"/>
          <w:marRight w:val="0"/>
          <w:marTop w:val="0"/>
          <w:marBottom w:val="0"/>
          <w:divBdr>
            <w:top w:val="none" w:sz="0" w:space="0" w:color="auto"/>
            <w:left w:val="none" w:sz="0" w:space="0" w:color="auto"/>
            <w:bottom w:val="none" w:sz="0" w:space="0" w:color="auto"/>
            <w:right w:val="none" w:sz="0" w:space="0" w:color="auto"/>
          </w:divBdr>
          <w:divsChild>
            <w:div w:id="945161793">
              <w:marLeft w:val="0"/>
              <w:marRight w:val="0"/>
              <w:marTop w:val="0"/>
              <w:marBottom w:val="0"/>
              <w:divBdr>
                <w:top w:val="none" w:sz="0" w:space="0" w:color="auto"/>
                <w:left w:val="none" w:sz="0" w:space="0" w:color="auto"/>
                <w:bottom w:val="none" w:sz="0" w:space="0" w:color="auto"/>
                <w:right w:val="none" w:sz="0" w:space="0" w:color="auto"/>
              </w:divBdr>
              <w:divsChild>
                <w:div w:id="653023790">
                  <w:marLeft w:val="0"/>
                  <w:marRight w:val="0"/>
                  <w:marTop w:val="0"/>
                  <w:marBottom w:val="0"/>
                  <w:divBdr>
                    <w:top w:val="none" w:sz="0" w:space="0" w:color="auto"/>
                    <w:left w:val="none" w:sz="0" w:space="0" w:color="auto"/>
                    <w:bottom w:val="none" w:sz="0" w:space="0" w:color="auto"/>
                    <w:right w:val="none" w:sz="0" w:space="0" w:color="auto"/>
                  </w:divBdr>
                  <w:divsChild>
                    <w:div w:id="582027065">
                      <w:marLeft w:val="0"/>
                      <w:marRight w:val="0"/>
                      <w:marTop w:val="0"/>
                      <w:marBottom w:val="0"/>
                      <w:divBdr>
                        <w:top w:val="none" w:sz="0" w:space="0" w:color="auto"/>
                        <w:left w:val="none" w:sz="0" w:space="0" w:color="auto"/>
                        <w:bottom w:val="none" w:sz="0" w:space="0" w:color="auto"/>
                        <w:right w:val="none" w:sz="0" w:space="0" w:color="auto"/>
                      </w:divBdr>
                      <w:divsChild>
                        <w:div w:id="688799426">
                          <w:marLeft w:val="0"/>
                          <w:marRight w:val="0"/>
                          <w:marTop w:val="0"/>
                          <w:marBottom w:val="0"/>
                          <w:divBdr>
                            <w:top w:val="none" w:sz="0" w:space="0" w:color="auto"/>
                            <w:left w:val="none" w:sz="0" w:space="0" w:color="auto"/>
                            <w:bottom w:val="none" w:sz="0" w:space="0" w:color="auto"/>
                            <w:right w:val="none" w:sz="0" w:space="0" w:color="auto"/>
                          </w:divBdr>
                          <w:divsChild>
                            <w:div w:id="15377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Higher%20Education\Karen\HE-Karen\2016-17\POLICIES\KEY%20FACTS%202016-17%20Oaklan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B0BB-AB09-4994-B3AC-0024D18D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 FACTS 2016-17 Oaklands</Template>
  <TotalTime>1</TotalTime>
  <Pages>2</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V.1 Effective 1st September 2016.</Company>
  <LinksUpToDate>false</LinksUpToDate>
  <CharactersWithSpaces>13363</CharactersWithSpaces>
  <SharedDoc>false</SharedDoc>
  <HLinks>
    <vt:vector size="30" baseType="variant">
      <vt:variant>
        <vt:i4>1310844</vt:i4>
      </vt:variant>
      <vt:variant>
        <vt:i4>12</vt:i4>
      </vt:variant>
      <vt:variant>
        <vt:i4>0</vt:i4>
      </vt:variant>
      <vt:variant>
        <vt:i4>5</vt:i4>
      </vt:variant>
      <vt:variant>
        <vt:lpwstr>mailto:heoffice@oaklands.ac.uk</vt:lpwstr>
      </vt:variant>
      <vt:variant>
        <vt:lpwstr/>
      </vt:variant>
      <vt:variant>
        <vt:i4>1310844</vt:i4>
      </vt:variant>
      <vt:variant>
        <vt:i4>9</vt:i4>
      </vt:variant>
      <vt:variant>
        <vt:i4>0</vt:i4>
      </vt:variant>
      <vt:variant>
        <vt:i4>5</vt:i4>
      </vt:variant>
      <vt:variant>
        <vt:lpwstr>mailto:heoffice@oaklands.ac.uk</vt:lpwstr>
      </vt:variant>
      <vt:variant>
        <vt:lpwstr/>
      </vt:variant>
      <vt:variant>
        <vt:i4>393298</vt:i4>
      </vt:variant>
      <vt:variant>
        <vt:i4>6</vt:i4>
      </vt:variant>
      <vt:variant>
        <vt:i4>0</vt:i4>
      </vt:variant>
      <vt:variant>
        <vt:i4>5</vt:i4>
      </vt:variant>
      <vt:variant>
        <vt:lpwstr>http://hertfordshire.su/</vt:lpwstr>
      </vt:variant>
      <vt:variant>
        <vt:lpwstr/>
      </vt:variant>
      <vt:variant>
        <vt:i4>1179720</vt:i4>
      </vt:variant>
      <vt:variant>
        <vt:i4>3</vt:i4>
      </vt:variant>
      <vt:variant>
        <vt:i4>0</vt:i4>
      </vt:variant>
      <vt:variant>
        <vt:i4>5</vt:i4>
      </vt:variant>
      <vt:variant>
        <vt:lpwstr>http://www.oiahe.org.uk/</vt:lpwstr>
      </vt:variant>
      <vt:variant>
        <vt:lpwstr/>
      </vt:variant>
      <vt:variant>
        <vt:i4>4259843</vt:i4>
      </vt:variant>
      <vt:variant>
        <vt:i4>0</vt:i4>
      </vt:variant>
      <vt:variant>
        <vt:i4>0</vt:i4>
      </vt:variant>
      <vt:variant>
        <vt:i4>5</vt:i4>
      </vt:variant>
      <vt:variant>
        <vt:lpwstr>https://www.oaklands.ac.uk/courses/higher-education-courses.aspx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Wellman</dc:creator>
  <cp:keywords/>
  <cp:lastModifiedBy>Karen Wellman</cp:lastModifiedBy>
  <cp:revision>2</cp:revision>
  <cp:lastPrinted>2016-02-08T12:45:00Z</cp:lastPrinted>
  <dcterms:created xsi:type="dcterms:W3CDTF">2022-01-21T14:39:00Z</dcterms:created>
  <dcterms:modified xsi:type="dcterms:W3CDTF">2022-01-21T14:39:00Z</dcterms:modified>
</cp:coreProperties>
</file>