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EB77E" w14:textId="77777777" w:rsidR="00F117F5" w:rsidRPr="00F117F5" w:rsidRDefault="00F117F5" w:rsidP="00F117F5">
      <w:pPr>
        <w:shd w:val="clear" w:color="auto" w:fill="FFFFFF"/>
        <w:spacing w:after="225" w:line="1035" w:lineRule="atLeast"/>
        <w:outlineLvl w:val="0"/>
        <w:rPr>
          <w:rFonts w:ascii="inherit" w:eastAsia="Times New Roman" w:hAnsi="inherit" w:cs="Arial"/>
          <w:b/>
          <w:bCs/>
          <w:color w:val="13366C"/>
          <w:spacing w:val="-30"/>
          <w:kern w:val="36"/>
          <w:sz w:val="98"/>
          <w:szCs w:val="98"/>
          <w:lang w:eastAsia="en-GB"/>
        </w:rPr>
      </w:pPr>
      <w:r w:rsidRPr="00F117F5">
        <w:rPr>
          <w:rFonts w:ascii="inherit" w:eastAsia="Times New Roman" w:hAnsi="inherit" w:cs="Arial"/>
          <w:b/>
          <w:bCs/>
          <w:color w:val="13366C"/>
          <w:spacing w:val="-30"/>
          <w:kern w:val="36"/>
          <w:sz w:val="98"/>
          <w:szCs w:val="98"/>
          <w:lang w:eastAsia="en-GB"/>
        </w:rPr>
        <w:t>Oaklands College 16-19 Tuition Fund</w:t>
      </w:r>
    </w:p>
    <w:p w14:paraId="0434F448" w14:textId="232BDB23" w:rsidR="00C22712" w:rsidRDefault="00F117F5" w:rsidP="00A82AF4">
      <w:pPr>
        <w:shd w:val="clear" w:color="auto" w:fill="FFFFFF"/>
        <w:spacing w:after="0" w:line="240" w:lineRule="auto"/>
        <w:rPr>
          <w:rFonts w:ascii="Arial" w:eastAsia="Times New Roman" w:hAnsi="Arial" w:cs="Arial"/>
          <w:i/>
          <w:iCs/>
          <w:color w:val="555555"/>
          <w:sz w:val="27"/>
          <w:szCs w:val="27"/>
          <w:lang w:eastAsia="en-GB"/>
        </w:rPr>
      </w:pPr>
      <w:r w:rsidRPr="00F117F5">
        <w:rPr>
          <w:rFonts w:ascii="Arial" w:eastAsia="Times New Roman" w:hAnsi="Arial" w:cs="Arial"/>
          <w:color w:val="555555"/>
          <w:sz w:val="27"/>
          <w:szCs w:val="27"/>
          <w:lang w:eastAsia="en-GB"/>
        </w:rPr>
        <w:br/>
        <w:t xml:space="preserve">This 16-19 Tuition Fund is available to all 16 to 19 providers such as Oaklands College and is ring-fenced for 16 to 19 small group tuition only. The funding can be used to support small group tuition for 16 to 19 students in English, maths, and other courses where learning has been disrupted. Students must be on a 16 to 19 study programme and have not achieved grade </w:t>
      </w:r>
      <w:r w:rsidR="00A82AF4">
        <w:rPr>
          <w:rFonts w:ascii="Arial" w:eastAsia="Times New Roman" w:hAnsi="Arial" w:cs="Arial"/>
          <w:color w:val="555555"/>
          <w:sz w:val="27"/>
          <w:szCs w:val="27"/>
          <w:lang w:eastAsia="en-GB"/>
        </w:rPr>
        <w:t>4</w:t>
      </w:r>
      <w:r w:rsidRPr="00F117F5">
        <w:rPr>
          <w:rFonts w:ascii="Arial" w:eastAsia="Times New Roman" w:hAnsi="Arial" w:cs="Arial"/>
          <w:color w:val="555555"/>
          <w:sz w:val="27"/>
          <w:szCs w:val="27"/>
          <w:lang w:eastAsia="en-GB"/>
        </w:rPr>
        <w:t xml:space="preserve"> or above in GCSE maths and/or English by age 16. Students with special educational needs and disabilities (SEND) aged 19 to 24 who have an Education, Health and Care (EHC) plan will also be eligible for support via the 16 to 19 Tuition Fund.</w:t>
      </w:r>
      <w:r w:rsidRPr="00F117F5">
        <w:rPr>
          <w:rFonts w:ascii="Arial" w:eastAsia="Times New Roman" w:hAnsi="Arial" w:cs="Arial"/>
          <w:color w:val="555555"/>
          <w:sz w:val="27"/>
          <w:szCs w:val="27"/>
          <w:lang w:eastAsia="en-GB"/>
        </w:rPr>
        <w:br/>
        <w:t> </w:t>
      </w:r>
      <w:r w:rsidRPr="00F117F5">
        <w:rPr>
          <w:rFonts w:ascii="Arial" w:eastAsia="Times New Roman" w:hAnsi="Arial" w:cs="Arial"/>
          <w:color w:val="555555"/>
          <w:sz w:val="27"/>
          <w:szCs w:val="27"/>
          <w:lang w:eastAsia="en-GB"/>
        </w:rPr>
        <w:br/>
        <w:t xml:space="preserve">Students will be identified </w:t>
      </w:r>
      <w:proofErr w:type="gramStart"/>
      <w:r w:rsidRPr="00F117F5">
        <w:rPr>
          <w:rFonts w:ascii="Arial" w:eastAsia="Times New Roman" w:hAnsi="Arial" w:cs="Arial"/>
          <w:color w:val="555555"/>
          <w:sz w:val="27"/>
          <w:szCs w:val="27"/>
          <w:lang w:eastAsia="en-GB"/>
        </w:rPr>
        <w:t>through the use of</w:t>
      </w:r>
      <w:proofErr w:type="gramEnd"/>
      <w:r w:rsidRPr="00F117F5">
        <w:rPr>
          <w:rFonts w:ascii="Arial" w:eastAsia="Times New Roman" w:hAnsi="Arial" w:cs="Arial"/>
          <w:color w:val="555555"/>
          <w:sz w:val="27"/>
          <w:szCs w:val="27"/>
          <w:lang w:eastAsia="en-GB"/>
        </w:rPr>
        <w:t xml:space="preserve"> the College’s student reviews boards, taking into consideration the criteria provided by the Education and Skills Funding Agency (ESFA). Students will be prioritised based on the following criteria:</w:t>
      </w:r>
      <w:r w:rsidRPr="00F117F5">
        <w:rPr>
          <w:rFonts w:ascii="Arial" w:eastAsia="Times New Roman" w:hAnsi="Arial" w:cs="Arial"/>
          <w:color w:val="555555"/>
          <w:sz w:val="27"/>
          <w:szCs w:val="27"/>
          <w:lang w:eastAsia="en-GB"/>
        </w:rPr>
        <w:br/>
      </w:r>
      <w:r w:rsidRPr="00F117F5">
        <w:rPr>
          <w:rFonts w:ascii="Arial" w:eastAsia="Times New Roman" w:hAnsi="Arial" w:cs="Arial"/>
          <w:color w:val="555555"/>
          <w:sz w:val="27"/>
          <w:szCs w:val="27"/>
          <w:lang w:eastAsia="en-GB"/>
        </w:rPr>
        <w:br/>
        <w:t>Maths and English catch-up support sessions will be prioritised for those students:</w:t>
      </w:r>
      <w:r w:rsidRPr="00F117F5">
        <w:rPr>
          <w:rFonts w:ascii="Arial" w:eastAsia="Times New Roman" w:hAnsi="Arial" w:cs="Arial"/>
          <w:color w:val="555555"/>
          <w:sz w:val="27"/>
          <w:szCs w:val="27"/>
          <w:lang w:eastAsia="en-GB"/>
        </w:rPr>
        <w:br/>
      </w:r>
      <w:r w:rsidRPr="00F117F5">
        <w:rPr>
          <w:rFonts w:ascii="Arial" w:eastAsia="Times New Roman" w:hAnsi="Arial" w:cs="Arial"/>
          <w:color w:val="555555"/>
          <w:sz w:val="27"/>
          <w:szCs w:val="27"/>
          <w:lang w:eastAsia="en-GB"/>
        </w:rPr>
        <w:br/>
        <w:t>• who have been identified at “risk” during the student review board process</w:t>
      </w:r>
      <w:r w:rsidRPr="00F117F5">
        <w:rPr>
          <w:rFonts w:ascii="Arial" w:eastAsia="Times New Roman" w:hAnsi="Arial" w:cs="Arial"/>
          <w:color w:val="555555"/>
          <w:sz w:val="27"/>
          <w:szCs w:val="27"/>
          <w:lang w:eastAsia="en-GB"/>
        </w:rPr>
        <w:br/>
        <w:t>• with an Education, Health and Care (EHC) Plan</w:t>
      </w:r>
      <w:r w:rsidRPr="00F117F5">
        <w:rPr>
          <w:rFonts w:ascii="Arial" w:eastAsia="Times New Roman" w:hAnsi="Arial" w:cs="Arial"/>
          <w:color w:val="555555"/>
          <w:sz w:val="27"/>
          <w:szCs w:val="27"/>
          <w:lang w:eastAsia="en-GB"/>
        </w:rPr>
        <w:br/>
        <w:t>• with special educational needs and disabilities (SEND), particularly where they have experienced additional disruption to learning as a result of their specific needs and disabilities</w:t>
      </w:r>
      <w:r w:rsidRPr="00F117F5">
        <w:rPr>
          <w:rFonts w:ascii="Arial" w:eastAsia="Times New Roman" w:hAnsi="Arial" w:cs="Arial"/>
          <w:color w:val="555555"/>
          <w:sz w:val="27"/>
          <w:szCs w:val="27"/>
          <w:lang w:eastAsia="en-GB"/>
        </w:rPr>
        <w:br/>
      </w:r>
      <w:r w:rsidRPr="00F117F5">
        <w:rPr>
          <w:rFonts w:ascii="Arial" w:eastAsia="Times New Roman" w:hAnsi="Arial" w:cs="Arial"/>
          <w:color w:val="555555"/>
          <w:sz w:val="27"/>
          <w:szCs w:val="27"/>
          <w:lang w:eastAsia="en-GB"/>
        </w:rPr>
        <w:br/>
        <w:t>Vocational support sessions will be prioritised for those students:</w:t>
      </w:r>
      <w:r w:rsidRPr="00F117F5">
        <w:rPr>
          <w:rFonts w:ascii="Arial" w:eastAsia="Times New Roman" w:hAnsi="Arial" w:cs="Arial"/>
          <w:color w:val="555555"/>
          <w:sz w:val="27"/>
          <w:szCs w:val="27"/>
          <w:lang w:eastAsia="en-GB"/>
        </w:rPr>
        <w:br/>
      </w:r>
      <w:r w:rsidRPr="00F117F5">
        <w:rPr>
          <w:rFonts w:ascii="Arial" w:eastAsia="Times New Roman" w:hAnsi="Arial" w:cs="Arial"/>
          <w:color w:val="555555"/>
          <w:sz w:val="27"/>
          <w:szCs w:val="27"/>
          <w:lang w:eastAsia="en-GB"/>
        </w:rPr>
        <w:br/>
        <w:t>• who have been identified at “risk” during the student review board process</w:t>
      </w:r>
      <w:r w:rsidRPr="00F117F5">
        <w:rPr>
          <w:rFonts w:ascii="Arial" w:eastAsia="Times New Roman" w:hAnsi="Arial" w:cs="Arial"/>
          <w:color w:val="555555"/>
          <w:sz w:val="27"/>
          <w:szCs w:val="27"/>
          <w:lang w:eastAsia="en-GB"/>
        </w:rPr>
        <w:br/>
        <w:t xml:space="preserve">• where </w:t>
      </w:r>
      <w:r w:rsidR="00C22712">
        <w:rPr>
          <w:rFonts w:ascii="Arial" w:eastAsia="Times New Roman" w:hAnsi="Arial" w:cs="Arial"/>
          <w:color w:val="555555"/>
          <w:sz w:val="27"/>
          <w:szCs w:val="27"/>
          <w:lang w:eastAsia="en-GB"/>
        </w:rPr>
        <w:t>we had identified skills gaps from the last 18 months</w:t>
      </w:r>
      <w:r w:rsidR="00C22712" w:rsidRPr="00F117F5">
        <w:rPr>
          <w:rFonts w:ascii="Arial" w:eastAsia="Times New Roman" w:hAnsi="Arial" w:cs="Arial"/>
          <w:color w:val="555555"/>
          <w:sz w:val="27"/>
          <w:szCs w:val="27"/>
          <w:lang w:eastAsia="en-GB"/>
        </w:rPr>
        <w:t xml:space="preserve"> </w:t>
      </w:r>
      <w:r w:rsidRPr="00F117F5">
        <w:rPr>
          <w:rFonts w:ascii="Arial" w:eastAsia="Times New Roman" w:hAnsi="Arial" w:cs="Arial"/>
          <w:color w:val="555555"/>
          <w:sz w:val="27"/>
          <w:szCs w:val="27"/>
          <w:lang w:eastAsia="en-GB"/>
        </w:rPr>
        <w:br/>
        <w:t>• with an Education, Health and Care (EHC) Plan</w:t>
      </w:r>
      <w:r w:rsidRPr="00F117F5">
        <w:rPr>
          <w:rFonts w:ascii="Arial" w:eastAsia="Times New Roman" w:hAnsi="Arial" w:cs="Arial"/>
          <w:color w:val="555555"/>
          <w:sz w:val="27"/>
          <w:szCs w:val="27"/>
          <w:lang w:eastAsia="en-GB"/>
        </w:rPr>
        <w:br/>
      </w:r>
      <w:r w:rsidRPr="00F117F5">
        <w:rPr>
          <w:rFonts w:ascii="Arial" w:eastAsia="Times New Roman" w:hAnsi="Arial" w:cs="Arial"/>
          <w:color w:val="555555"/>
          <w:sz w:val="27"/>
          <w:szCs w:val="27"/>
          <w:lang w:eastAsia="en-GB"/>
        </w:rPr>
        <w:br/>
        <w:t>Tuition groups will be offered to eligible students and comprise of no more than five students. Tuition sessions will be scheduled in addition to the planned programme of study for the academic year of 202</w:t>
      </w:r>
      <w:r w:rsidR="00A82AF4">
        <w:rPr>
          <w:rFonts w:ascii="Arial" w:eastAsia="Times New Roman" w:hAnsi="Arial" w:cs="Arial"/>
          <w:color w:val="555555"/>
          <w:sz w:val="27"/>
          <w:szCs w:val="27"/>
          <w:lang w:eastAsia="en-GB"/>
        </w:rPr>
        <w:t>1</w:t>
      </w:r>
      <w:r w:rsidRPr="00F117F5">
        <w:rPr>
          <w:rFonts w:ascii="Arial" w:eastAsia="Times New Roman" w:hAnsi="Arial" w:cs="Arial"/>
          <w:color w:val="555555"/>
          <w:sz w:val="27"/>
          <w:szCs w:val="27"/>
          <w:lang w:eastAsia="en-GB"/>
        </w:rPr>
        <w:t>/2</w:t>
      </w:r>
      <w:r w:rsidR="00A82AF4">
        <w:rPr>
          <w:rFonts w:ascii="Arial" w:eastAsia="Times New Roman" w:hAnsi="Arial" w:cs="Arial"/>
          <w:color w:val="555555"/>
          <w:sz w:val="27"/>
          <w:szCs w:val="27"/>
          <w:lang w:eastAsia="en-GB"/>
        </w:rPr>
        <w:t>2</w:t>
      </w:r>
      <w:r w:rsidRPr="00F117F5">
        <w:rPr>
          <w:rFonts w:ascii="Arial" w:eastAsia="Times New Roman" w:hAnsi="Arial" w:cs="Arial"/>
          <w:color w:val="555555"/>
          <w:sz w:val="27"/>
          <w:szCs w:val="27"/>
          <w:lang w:eastAsia="en-GB"/>
        </w:rPr>
        <w:t xml:space="preserve"> and may be delivered using a blend of online and on-site delivery.</w:t>
      </w:r>
      <w:r w:rsidRPr="00F117F5">
        <w:rPr>
          <w:rFonts w:ascii="Arial" w:eastAsia="Times New Roman" w:hAnsi="Arial" w:cs="Arial"/>
          <w:color w:val="555555"/>
          <w:sz w:val="27"/>
          <w:szCs w:val="27"/>
          <w:lang w:eastAsia="en-GB"/>
        </w:rPr>
        <w:br/>
        <w:t> </w:t>
      </w:r>
      <w:r w:rsidRPr="00F117F5">
        <w:rPr>
          <w:rFonts w:ascii="Arial" w:eastAsia="Times New Roman" w:hAnsi="Arial" w:cs="Arial"/>
          <w:color w:val="555555"/>
          <w:sz w:val="27"/>
          <w:szCs w:val="27"/>
          <w:lang w:eastAsia="en-GB"/>
        </w:rPr>
        <w:br/>
      </w:r>
      <w:r w:rsidRPr="00F117F5">
        <w:rPr>
          <w:rFonts w:ascii="Arial" w:eastAsia="Times New Roman" w:hAnsi="Arial" w:cs="Arial"/>
          <w:color w:val="555555"/>
          <w:sz w:val="27"/>
          <w:szCs w:val="27"/>
          <w:lang w:eastAsia="en-GB"/>
        </w:rPr>
        <w:lastRenderedPageBreak/>
        <w:t>Examples of some of the Tuition Support on offer will include:</w:t>
      </w:r>
      <w:r w:rsidRPr="00F117F5">
        <w:rPr>
          <w:rFonts w:ascii="Arial" w:eastAsia="Times New Roman" w:hAnsi="Arial" w:cs="Arial"/>
          <w:color w:val="555555"/>
          <w:sz w:val="27"/>
          <w:szCs w:val="27"/>
          <w:lang w:eastAsia="en-GB"/>
        </w:rPr>
        <w:br/>
      </w:r>
      <w:r w:rsidR="00A82AF4" w:rsidRPr="00F117F5">
        <w:rPr>
          <w:rFonts w:ascii="Arial" w:eastAsia="Times New Roman" w:hAnsi="Arial" w:cs="Arial"/>
          <w:i/>
          <w:iCs/>
          <w:color w:val="555555"/>
          <w:sz w:val="27"/>
          <w:szCs w:val="27"/>
          <w:lang w:eastAsia="en-GB"/>
        </w:rPr>
        <w:t xml:space="preserve"> </w:t>
      </w:r>
      <w:r w:rsidRPr="00F117F5">
        <w:rPr>
          <w:rFonts w:ascii="Arial" w:eastAsia="Times New Roman" w:hAnsi="Arial" w:cs="Arial"/>
          <w:i/>
          <w:iCs/>
          <w:color w:val="555555"/>
          <w:sz w:val="27"/>
          <w:szCs w:val="27"/>
          <w:lang w:eastAsia="en-GB"/>
        </w:rPr>
        <w:br/>
        <w:t>• GCSE small group support</w:t>
      </w:r>
      <w:r w:rsidRPr="00F117F5">
        <w:rPr>
          <w:rFonts w:ascii="Arial" w:eastAsia="Times New Roman" w:hAnsi="Arial" w:cs="Arial"/>
          <w:i/>
          <w:iCs/>
          <w:color w:val="555555"/>
          <w:sz w:val="27"/>
          <w:szCs w:val="27"/>
          <w:lang w:eastAsia="en-GB"/>
        </w:rPr>
        <w:br/>
        <w:t>• Functional skills assessment preparation</w:t>
      </w:r>
      <w:r w:rsidRPr="00F117F5">
        <w:rPr>
          <w:rFonts w:ascii="Arial" w:eastAsia="Times New Roman" w:hAnsi="Arial" w:cs="Arial"/>
          <w:i/>
          <w:iCs/>
          <w:color w:val="555555"/>
          <w:sz w:val="27"/>
          <w:szCs w:val="27"/>
          <w:lang w:eastAsia="en-GB"/>
        </w:rPr>
        <w:br/>
        <w:t>• Vocational deferred assessment preparation</w:t>
      </w:r>
      <w:r w:rsidRPr="00F117F5">
        <w:rPr>
          <w:rFonts w:ascii="Arial" w:eastAsia="Times New Roman" w:hAnsi="Arial" w:cs="Arial"/>
          <w:i/>
          <w:iCs/>
          <w:color w:val="555555"/>
          <w:sz w:val="27"/>
          <w:szCs w:val="27"/>
          <w:lang w:eastAsia="en-GB"/>
        </w:rPr>
        <w:br/>
        <w:t>• Vocational knowledge catch-up sessions</w:t>
      </w:r>
      <w:r w:rsidRPr="00F117F5">
        <w:rPr>
          <w:rFonts w:ascii="Arial" w:eastAsia="Times New Roman" w:hAnsi="Arial" w:cs="Arial"/>
          <w:i/>
          <w:iCs/>
          <w:color w:val="555555"/>
          <w:sz w:val="27"/>
          <w:szCs w:val="27"/>
          <w:lang w:eastAsia="en-GB"/>
        </w:rPr>
        <w:br/>
        <w:t>• Bespoke support based on submission of work</w:t>
      </w:r>
      <w:r w:rsidR="00C22712">
        <w:rPr>
          <w:rFonts w:ascii="Arial" w:eastAsia="Times New Roman" w:hAnsi="Arial" w:cs="Arial"/>
          <w:i/>
          <w:iCs/>
          <w:color w:val="555555"/>
          <w:sz w:val="27"/>
          <w:szCs w:val="27"/>
          <w:lang w:eastAsia="en-GB"/>
        </w:rPr>
        <w:t xml:space="preserve"> &amp;</w:t>
      </w:r>
      <w:r w:rsidR="00A82AF4">
        <w:rPr>
          <w:rFonts w:ascii="Arial" w:eastAsia="Times New Roman" w:hAnsi="Arial" w:cs="Arial"/>
          <w:i/>
          <w:iCs/>
          <w:color w:val="555555"/>
          <w:sz w:val="27"/>
          <w:szCs w:val="27"/>
          <w:lang w:eastAsia="en-GB"/>
        </w:rPr>
        <w:t xml:space="preserve"> assignment writing</w:t>
      </w:r>
    </w:p>
    <w:p w14:paraId="35B1A9AC" w14:textId="179AF069" w:rsidR="00F117F5" w:rsidRPr="00C22712" w:rsidRDefault="00C22712" w:rsidP="00C22712">
      <w:pPr>
        <w:shd w:val="clear" w:color="auto" w:fill="FFFFFF"/>
        <w:spacing w:after="0" w:line="240" w:lineRule="auto"/>
        <w:rPr>
          <w:rFonts w:ascii="Arial" w:eastAsia="Times New Roman" w:hAnsi="Arial" w:cs="Arial"/>
          <w:i/>
          <w:iCs/>
          <w:color w:val="555555"/>
          <w:sz w:val="27"/>
          <w:szCs w:val="27"/>
          <w:lang w:eastAsia="en-GB"/>
        </w:rPr>
      </w:pPr>
      <w:r w:rsidRPr="00F117F5">
        <w:rPr>
          <w:rFonts w:ascii="Arial" w:eastAsia="Times New Roman" w:hAnsi="Arial" w:cs="Arial"/>
          <w:i/>
          <w:iCs/>
          <w:color w:val="555555"/>
          <w:sz w:val="27"/>
          <w:szCs w:val="27"/>
          <w:lang w:eastAsia="en-GB"/>
        </w:rPr>
        <w:t xml:space="preserve">• </w:t>
      </w:r>
      <w:r w:rsidRPr="00C22712">
        <w:rPr>
          <w:rFonts w:ascii="Arial" w:eastAsia="Times New Roman" w:hAnsi="Arial" w:cs="Arial"/>
          <w:i/>
          <w:iCs/>
          <w:color w:val="555555"/>
          <w:sz w:val="27"/>
          <w:szCs w:val="27"/>
          <w:lang w:eastAsia="en-GB"/>
        </w:rPr>
        <w:t>Bespoke support based around supporting students to develop their study skills</w:t>
      </w:r>
      <w:r w:rsidR="00F117F5" w:rsidRPr="00C22712">
        <w:rPr>
          <w:rFonts w:ascii="Arial" w:eastAsia="Times New Roman" w:hAnsi="Arial" w:cs="Arial"/>
          <w:i/>
          <w:iCs/>
          <w:color w:val="555555"/>
          <w:sz w:val="27"/>
          <w:szCs w:val="27"/>
          <w:lang w:eastAsia="en-GB"/>
        </w:rPr>
        <w:br/>
      </w:r>
      <w:r w:rsidR="00F117F5" w:rsidRPr="00C22712">
        <w:rPr>
          <w:rFonts w:ascii="Arial" w:eastAsia="Times New Roman" w:hAnsi="Arial" w:cs="Arial"/>
          <w:color w:val="555555"/>
          <w:sz w:val="27"/>
          <w:szCs w:val="27"/>
          <w:lang w:eastAsia="en-GB"/>
        </w:rPr>
        <w:br/>
        <w:t>Further information regarding guidance released by the Education and Skills Funding Agency (ESFA) can be found here:  </w:t>
      </w:r>
      <w:hyperlink r:id="rId5" w:history="1">
        <w:r w:rsidR="00F117F5" w:rsidRPr="00C22712">
          <w:rPr>
            <w:rFonts w:ascii="Arial" w:eastAsia="Times New Roman" w:hAnsi="Arial" w:cs="Arial"/>
            <w:color w:val="0000FF"/>
            <w:sz w:val="27"/>
            <w:szCs w:val="27"/>
            <w:lang w:eastAsia="en-GB"/>
          </w:rPr>
          <w:t>Guidance</w:t>
        </w:r>
      </w:hyperlink>
      <w:r w:rsidR="00F117F5" w:rsidRPr="00C22712">
        <w:rPr>
          <w:rFonts w:ascii="Arial" w:eastAsia="Times New Roman" w:hAnsi="Arial" w:cs="Arial"/>
          <w:color w:val="0070C0"/>
          <w:sz w:val="27"/>
          <w:szCs w:val="27"/>
          <w:lang w:eastAsia="en-GB"/>
        </w:rPr>
        <w:t>.</w:t>
      </w:r>
      <w:r w:rsidR="00F117F5" w:rsidRPr="00C22712">
        <w:rPr>
          <w:rFonts w:ascii="Arial" w:eastAsia="Times New Roman" w:hAnsi="Arial" w:cs="Arial"/>
          <w:color w:val="555555"/>
          <w:sz w:val="27"/>
          <w:szCs w:val="27"/>
          <w:lang w:eastAsia="en-GB"/>
        </w:rPr>
        <w:t> </w:t>
      </w:r>
    </w:p>
    <w:p w14:paraId="6B31E5DC" w14:textId="744C14E4" w:rsidR="00F117F5" w:rsidRDefault="00F117F5" w:rsidP="00A82AF4"/>
    <w:p w14:paraId="25CA654B" w14:textId="609CA877" w:rsidR="00F117F5" w:rsidRDefault="00F117F5" w:rsidP="00A82AF4"/>
    <w:p w14:paraId="74F7BC3D" w14:textId="77777777" w:rsidR="00F117F5" w:rsidRDefault="00F117F5"/>
    <w:sectPr w:rsidR="00F11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D36"/>
    <w:multiLevelType w:val="hybridMultilevel"/>
    <w:tmpl w:val="AF4A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90455"/>
    <w:multiLevelType w:val="multilevel"/>
    <w:tmpl w:val="A4BE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92AA6"/>
    <w:multiLevelType w:val="hybridMultilevel"/>
    <w:tmpl w:val="AA40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F5"/>
    <w:rsid w:val="00543995"/>
    <w:rsid w:val="005D095D"/>
    <w:rsid w:val="00676C04"/>
    <w:rsid w:val="00A82AF4"/>
    <w:rsid w:val="00C22712"/>
    <w:rsid w:val="00C50B91"/>
    <w:rsid w:val="00D466BD"/>
    <w:rsid w:val="00F1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2C0F"/>
  <w15:chartTrackingRefBased/>
  <w15:docId w15:val="{FD4EA812-910E-4D68-B69E-A895DFF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647396">
      <w:bodyDiv w:val="1"/>
      <w:marLeft w:val="0"/>
      <w:marRight w:val="0"/>
      <w:marTop w:val="0"/>
      <w:marBottom w:val="0"/>
      <w:divBdr>
        <w:top w:val="none" w:sz="0" w:space="0" w:color="auto"/>
        <w:left w:val="none" w:sz="0" w:space="0" w:color="auto"/>
        <w:bottom w:val="none" w:sz="0" w:space="0" w:color="auto"/>
        <w:right w:val="none" w:sz="0" w:space="0" w:color="auto"/>
      </w:divBdr>
      <w:divsChild>
        <w:div w:id="601453301">
          <w:marLeft w:val="0"/>
          <w:marRight w:val="0"/>
          <w:marTop w:val="0"/>
          <w:marBottom w:val="0"/>
          <w:divBdr>
            <w:top w:val="none" w:sz="0" w:space="0" w:color="auto"/>
            <w:left w:val="none" w:sz="0" w:space="0" w:color="auto"/>
            <w:bottom w:val="none" w:sz="0" w:space="0" w:color="auto"/>
            <w:right w:val="none" w:sz="0" w:space="0" w:color="auto"/>
          </w:divBdr>
          <w:divsChild>
            <w:div w:id="1081027755">
              <w:marLeft w:val="0"/>
              <w:marRight w:val="0"/>
              <w:marTop w:val="0"/>
              <w:marBottom w:val="0"/>
              <w:divBdr>
                <w:top w:val="none" w:sz="0" w:space="0" w:color="auto"/>
                <w:left w:val="none" w:sz="0" w:space="0" w:color="auto"/>
                <w:bottom w:val="none" w:sz="0" w:space="0" w:color="auto"/>
                <w:right w:val="none" w:sz="0" w:space="0" w:color="auto"/>
              </w:divBdr>
              <w:divsChild>
                <w:div w:id="455294969">
                  <w:marLeft w:val="0"/>
                  <w:marRight w:val="0"/>
                  <w:marTop w:val="0"/>
                  <w:marBottom w:val="0"/>
                  <w:divBdr>
                    <w:top w:val="none" w:sz="0" w:space="0" w:color="auto"/>
                    <w:left w:val="none" w:sz="0" w:space="0" w:color="auto"/>
                    <w:bottom w:val="none" w:sz="0" w:space="0" w:color="auto"/>
                    <w:right w:val="none" w:sz="0" w:space="0" w:color="auto"/>
                  </w:divBdr>
                  <w:divsChild>
                    <w:div w:id="1887718169">
                      <w:marLeft w:val="0"/>
                      <w:marRight w:val="0"/>
                      <w:marTop w:val="0"/>
                      <w:marBottom w:val="0"/>
                      <w:divBdr>
                        <w:top w:val="none" w:sz="0" w:space="0" w:color="auto"/>
                        <w:left w:val="none" w:sz="0" w:space="0" w:color="auto"/>
                        <w:bottom w:val="none" w:sz="0" w:space="0" w:color="auto"/>
                        <w:right w:val="none" w:sz="0" w:space="0" w:color="auto"/>
                      </w:divBdr>
                      <w:divsChild>
                        <w:div w:id="394001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92696203">
          <w:marLeft w:val="0"/>
          <w:marRight w:val="0"/>
          <w:marTop w:val="0"/>
          <w:marBottom w:val="0"/>
          <w:divBdr>
            <w:top w:val="none" w:sz="0" w:space="0" w:color="auto"/>
            <w:left w:val="none" w:sz="0" w:space="0" w:color="auto"/>
            <w:bottom w:val="none" w:sz="0" w:space="0" w:color="auto"/>
            <w:right w:val="none" w:sz="0" w:space="0" w:color="auto"/>
          </w:divBdr>
          <w:divsChild>
            <w:div w:id="1612667767">
              <w:marLeft w:val="0"/>
              <w:marRight w:val="0"/>
              <w:marTop w:val="0"/>
              <w:marBottom w:val="0"/>
              <w:divBdr>
                <w:top w:val="none" w:sz="0" w:space="0" w:color="auto"/>
                <w:left w:val="none" w:sz="0" w:space="0" w:color="auto"/>
                <w:bottom w:val="none" w:sz="0" w:space="0" w:color="auto"/>
                <w:right w:val="none" w:sz="0" w:space="0" w:color="auto"/>
              </w:divBdr>
              <w:divsChild>
                <w:div w:id="1553613591">
                  <w:marLeft w:val="0"/>
                  <w:marRight w:val="0"/>
                  <w:marTop w:val="0"/>
                  <w:marBottom w:val="0"/>
                  <w:divBdr>
                    <w:top w:val="none" w:sz="0" w:space="0" w:color="auto"/>
                    <w:left w:val="none" w:sz="0" w:space="0" w:color="auto"/>
                    <w:bottom w:val="none" w:sz="0" w:space="0" w:color="auto"/>
                    <w:right w:val="none" w:sz="0" w:space="0" w:color="auto"/>
                  </w:divBdr>
                </w:div>
                <w:div w:id="1405447628">
                  <w:marLeft w:val="0"/>
                  <w:marRight w:val="0"/>
                  <w:marTop w:val="0"/>
                  <w:marBottom w:val="0"/>
                  <w:divBdr>
                    <w:top w:val="none" w:sz="0" w:space="0" w:color="auto"/>
                    <w:left w:val="none" w:sz="0" w:space="0" w:color="auto"/>
                    <w:bottom w:val="none" w:sz="0" w:space="0" w:color="auto"/>
                    <w:right w:val="none" w:sz="0" w:space="0" w:color="auto"/>
                  </w:divBdr>
                </w:div>
                <w:div w:id="16816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16-to-19-funding-16-to-19-tuition-f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McCormack</dc:creator>
  <cp:keywords/>
  <dc:description/>
  <cp:lastModifiedBy>Paul McCormack</cp:lastModifiedBy>
  <cp:revision>3</cp:revision>
  <dcterms:created xsi:type="dcterms:W3CDTF">2021-09-30T12:06:00Z</dcterms:created>
  <dcterms:modified xsi:type="dcterms:W3CDTF">2021-09-30T12:09:00Z</dcterms:modified>
</cp:coreProperties>
</file>