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EE9C5" w14:textId="77777777" w:rsidR="00BC201C" w:rsidRPr="00BD026A" w:rsidRDefault="00375BA3" w:rsidP="00463573">
      <w:pPr>
        <w:jc w:val="right"/>
        <w:rPr>
          <w:rFonts w:ascii="Calibri" w:hAnsi="Calibri" w:cs="Calibri"/>
          <w:b/>
          <w:szCs w:val="22"/>
        </w:rPr>
      </w:pPr>
      <w:r>
        <w:rPr>
          <w:rFonts w:ascii="Calibri" w:hAnsi="Calibri" w:cs="Calibri"/>
          <w:b/>
          <w:noProof/>
          <w:color w:val="31849B"/>
          <w:sz w:val="32"/>
          <w:szCs w:val="28"/>
          <w:lang w:eastAsia="en-GB"/>
        </w:rPr>
        <w:drawing>
          <wp:inline distT="0" distB="0" distL="0" distR="0" wp14:anchorId="50FEEA8A" wp14:editId="50FEEA8B">
            <wp:extent cx="2407920" cy="784860"/>
            <wp:effectExtent l="0" t="0" r="0" b="0"/>
            <wp:docPr id="1" name="Picture 1" descr="Oaklands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lands colou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920" cy="784860"/>
                    </a:xfrm>
                    <a:prstGeom prst="rect">
                      <a:avLst/>
                    </a:prstGeom>
                    <a:noFill/>
                    <a:ln>
                      <a:noFill/>
                    </a:ln>
                  </pic:spPr>
                </pic:pic>
              </a:graphicData>
            </a:graphic>
          </wp:inline>
        </w:drawing>
      </w:r>
    </w:p>
    <w:p w14:paraId="50FEE9C6" w14:textId="77777777" w:rsidR="00BC201C" w:rsidRPr="00BD026A" w:rsidRDefault="00BC201C" w:rsidP="00E12EF5">
      <w:pPr>
        <w:jc w:val="both"/>
        <w:rPr>
          <w:rFonts w:ascii="Calibri" w:hAnsi="Calibri" w:cs="Calibri"/>
          <w:b/>
          <w:szCs w:val="22"/>
        </w:rPr>
      </w:pPr>
    </w:p>
    <w:p w14:paraId="50FEE9C7" w14:textId="77777777" w:rsidR="00BC201C" w:rsidRPr="00BD7B14" w:rsidRDefault="006B4047" w:rsidP="00463573">
      <w:pPr>
        <w:rPr>
          <w:rFonts w:ascii="Calibri" w:hAnsi="Calibri" w:cs="Calibri"/>
          <w:b/>
          <w:color w:val="31849B"/>
          <w:sz w:val="32"/>
          <w:szCs w:val="24"/>
        </w:rPr>
      </w:pPr>
      <w:r w:rsidRPr="00BD7B14">
        <w:rPr>
          <w:rFonts w:ascii="Calibri" w:hAnsi="Calibri" w:cs="Calibri"/>
          <w:b/>
          <w:color w:val="31849B"/>
          <w:sz w:val="32"/>
          <w:szCs w:val="24"/>
        </w:rPr>
        <w:t xml:space="preserve">THE </w:t>
      </w:r>
      <w:r w:rsidR="001E129A" w:rsidRPr="00BD7B14">
        <w:rPr>
          <w:rFonts w:ascii="Calibri" w:hAnsi="Calibri" w:cs="Calibri"/>
          <w:b/>
          <w:color w:val="31849B"/>
          <w:sz w:val="32"/>
          <w:szCs w:val="24"/>
        </w:rPr>
        <w:t xml:space="preserve">STUDENT </w:t>
      </w:r>
      <w:r w:rsidR="00BC201C" w:rsidRPr="00BD7B14">
        <w:rPr>
          <w:rFonts w:ascii="Calibri" w:hAnsi="Calibri" w:cs="Calibri"/>
          <w:b/>
          <w:color w:val="31849B"/>
          <w:sz w:val="32"/>
          <w:szCs w:val="24"/>
        </w:rPr>
        <w:t>FEE</w:t>
      </w:r>
      <w:r w:rsidR="001E129A" w:rsidRPr="00BD7B14">
        <w:rPr>
          <w:rFonts w:ascii="Calibri" w:hAnsi="Calibri" w:cs="Calibri"/>
          <w:b/>
          <w:color w:val="31849B"/>
          <w:sz w:val="32"/>
          <w:szCs w:val="24"/>
        </w:rPr>
        <w:t>S</w:t>
      </w:r>
      <w:r w:rsidR="00BC201C" w:rsidRPr="00BD7B14">
        <w:rPr>
          <w:rFonts w:ascii="Calibri" w:hAnsi="Calibri" w:cs="Calibri"/>
          <w:b/>
          <w:color w:val="31849B"/>
          <w:sz w:val="32"/>
          <w:szCs w:val="24"/>
        </w:rPr>
        <w:t xml:space="preserve"> POLICY</w:t>
      </w:r>
      <w:r w:rsidR="00375BA3">
        <w:rPr>
          <w:rFonts w:ascii="Calibri" w:hAnsi="Calibri" w:cs="Calibri"/>
          <w:b/>
          <w:color w:val="31849B"/>
          <w:sz w:val="32"/>
          <w:szCs w:val="24"/>
        </w:rPr>
        <w:t xml:space="preserve"> AND PROCEDURE</w:t>
      </w:r>
      <w:r w:rsidR="00BC201C" w:rsidRPr="00BD7B14">
        <w:rPr>
          <w:rFonts w:ascii="Calibri" w:hAnsi="Calibri" w:cs="Calibri"/>
          <w:b/>
          <w:color w:val="31849B"/>
          <w:sz w:val="32"/>
          <w:szCs w:val="24"/>
        </w:rPr>
        <w:t xml:space="preserve"> </w:t>
      </w:r>
    </w:p>
    <w:p w14:paraId="50FEE9C8" w14:textId="77777777" w:rsidR="00BC201C" w:rsidRPr="00BD026A" w:rsidRDefault="00BC201C" w:rsidP="00E12EF5">
      <w:pPr>
        <w:jc w:val="both"/>
        <w:rPr>
          <w:rFonts w:ascii="Calibri" w:hAnsi="Calibri" w:cs="Calibri"/>
          <w:b/>
          <w:szCs w:val="22"/>
        </w:rPr>
      </w:pPr>
    </w:p>
    <w:p w14:paraId="50FEE9C9" w14:textId="77777777" w:rsidR="009B2194" w:rsidRPr="00BD026A" w:rsidRDefault="009B2194" w:rsidP="00E12EF5">
      <w:pPr>
        <w:jc w:val="both"/>
        <w:rPr>
          <w:rFonts w:ascii="Calibri" w:hAnsi="Calibri" w:cs="Calibri"/>
          <w:b/>
          <w:szCs w:val="22"/>
        </w:rPr>
      </w:pPr>
    </w:p>
    <w:p w14:paraId="50FEE9CA" w14:textId="77777777" w:rsidR="00463573" w:rsidRPr="00BD7B14" w:rsidRDefault="00463573" w:rsidP="00E12EF5">
      <w:pPr>
        <w:jc w:val="both"/>
        <w:rPr>
          <w:rFonts w:ascii="Calibri" w:hAnsi="Calibri" w:cs="Calibri"/>
          <w:b/>
          <w:color w:val="31849B"/>
          <w:sz w:val="28"/>
        </w:rPr>
      </w:pPr>
      <w:r w:rsidRPr="00BD7B14">
        <w:rPr>
          <w:rFonts w:ascii="Calibri" w:hAnsi="Calibri" w:cs="Calibri"/>
          <w:b/>
          <w:color w:val="31849B"/>
          <w:sz w:val="28"/>
        </w:rPr>
        <w:t>Policy Statement</w:t>
      </w:r>
    </w:p>
    <w:p w14:paraId="50FEE9CB" w14:textId="77777777" w:rsidR="00463573" w:rsidRDefault="00463573" w:rsidP="00E12EF5">
      <w:pPr>
        <w:pStyle w:val="BodyText"/>
        <w:jc w:val="both"/>
        <w:rPr>
          <w:rFonts w:ascii="Calibri" w:hAnsi="Calibri" w:cs="Calibri"/>
          <w:bCs/>
          <w:szCs w:val="22"/>
        </w:rPr>
      </w:pPr>
    </w:p>
    <w:p w14:paraId="50FEE9CC" w14:textId="77777777" w:rsidR="00463573" w:rsidRPr="00BD026A" w:rsidRDefault="00463573" w:rsidP="00E12EF5">
      <w:pPr>
        <w:pStyle w:val="BodyText"/>
        <w:jc w:val="both"/>
        <w:rPr>
          <w:rFonts w:ascii="Calibri" w:hAnsi="Calibri" w:cs="Calibri"/>
          <w:bCs/>
          <w:szCs w:val="22"/>
        </w:rPr>
      </w:pPr>
      <w:r w:rsidRPr="00BD026A">
        <w:rPr>
          <w:rFonts w:ascii="Calibri" w:hAnsi="Calibri" w:cs="Calibri"/>
          <w:bCs/>
          <w:szCs w:val="22"/>
        </w:rPr>
        <w:t xml:space="preserve">The College will set the fees payable by its students to promote the widest possible participation in learning amongst the communities which it serves, in accordance with the requirements of the relevant funding and regulatory bodies. </w:t>
      </w:r>
      <w:r w:rsidR="00375BA3">
        <w:rPr>
          <w:rFonts w:ascii="Calibri" w:hAnsi="Calibri" w:cs="Calibri"/>
          <w:bCs/>
          <w:szCs w:val="22"/>
        </w:rPr>
        <w:t xml:space="preserve"> </w:t>
      </w:r>
      <w:r w:rsidRPr="00BD026A">
        <w:rPr>
          <w:rFonts w:ascii="Calibri" w:hAnsi="Calibri" w:cs="Calibri"/>
          <w:bCs/>
          <w:szCs w:val="22"/>
        </w:rPr>
        <w:t>In doing so the College will set fees at levels which also ensure the financial viability of its learning provision.</w:t>
      </w:r>
    </w:p>
    <w:p w14:paraId="50FEE9CE" w14:textId="77777777" w:rsidR="00BC201C" w:rsidRPr="00BD026A" w:rsidRDefault="00BC201C" w:rsidP="00E12EF5">
      <w:pPr>
        <w:jc w:val="both"/>
        <w:rPr>
          <w:rFonts w:ascii="Calibri" w:hAnsi="Calibri" w:cs="Calibri"/>
          <w:b/>
          <w:szCs w:val="22"/>
        </w:rPr>
      </w:pPr>
    </w:p>
    <w:p w14:paraId="50FEE9CF" w14:textId="77777777" w:rsidR="00BC201C" w:rsidRPr="00BD7B14" w:rsidRDefault="007C7488" w:rsidP="00E12EF5">
      <w:pPr>
        <w:jc w:val="both"/>
        <w:rPr>
          <w:rFonts w:ascii="Calibri" w:hAnsi="Calibri" w:cs="Calibri"/>
          <w:b/>
          <w:bCs/>
          <w:color w:val="31849B"/>
          <w:sz w:val="28"/>
          <w:szCs w:val="22"/>
        </w:rPr>
      </w:pPr>
      <w:r w:rsidRPr="00BD7B14">
        <w:rPr>
          <w:rFonts w:ascii="Calibri" w:hAnsi="Calibri" w:cs="Calibri"/>
          <w:b/>
          <w:bCs/>
          <w:color w:val="31849B"/>
          <w:sz w:val="28"/>
          <w:szCs w:val="22"/>
        </w:rPr>
        <w:t>Scope of</w:t>
      </w:r>
      <w:r w:rsidR="00BC201C" w:rsidRPr="00BD7B14">
        <w:rPr>
          <w:rFonts w:ascii="Calibri" w:hAnsi="Calibri" w:cs="Calibri"/>
          <w:b/>
          <w:bCs/>
          <w:color w:val="31849B"/>
          <w:sz w:val="28"/>
          <w:szCs w:val="22"/>
        </w:rPr>
        <w:t xml:space="preserve"> Policy</w:t>
      </w:r>
    </w:p>
    <w:p w14:paraId="50FEE9D0" w14:textId="77777777" w:rsidR="00BC201C" w:rsidRPr="00BD026A" w:rsidRDefault="00BC201C" w:rsidP="00E12EF5">
      <w:pPr>
        <w:jc w:val="both"/>
        <w:rPr>
          <w:rFonts w:ascii="Calibri" w:hAnsi="Calibri" w:cs="Calibri"/>
          <w:bCs/>
          <w:szCs w:val="22"/>
        </w:rPr>
      </w:pPr>
    </w:p>
    <w:p w14:paraId="50FEE9D1" w14:textId="77777777" w:rsidR="007C7488" w:rsidRDefault="007C7488" w:rsidP="00E12EF5">
      <w:pPr>
        <w:jc w:val="both"/>
        <w:rPr>
          <w:rFonts w:ascii="Calibri" w:hAnsi="Calibri" w:cs="Calibri"/>
          <w:bCs/>
          <w:szCs w:val="22"/>
        </w:rPr>
      </w:pPr>
      <w:r w:rsidRPr="00BD026A">
        <w:rPr>
          <w:rFonts w:ascii="Calibri" w:hAnsi="Calibri" w:cs="Calibri"/>
          <w:bCs/>
          <w:szCs w:val="22"/>
        </w:rPr>
        <w:t xml:space="preserve">This policy covers all fees payable by </w:t>
      </w:r>
      <w:r w:rsidR="00AE0BD2" w:rsidRPr="00BD026A">
        <w:rPr>
          <w:rFonts w:ascii="Calibri" w:hAnsi="Calibri" w:cs="Calibri"/>
          <w:bCs/>
          <w:szCs w:val="22"/>
        </w:rPr>
        <w:t xml:space="preserve">students </w:t>
      </w:r>
      <w:r w:rsidRPr="00BD026A">
        <w:rPr>
          <w:rFonts w:ascii="Calibri" w:hAnsi="Calibri" w:cs="Calibri"/>
          <w:bCs/>
          <w:szCs w:val="22"/>
        </w:rPr>
        <w:t>in relation to provision delivered by the College, specifically:</w:t>
      </w:r>
    </w:p>
    <w:p w14:paraId="50FEE9D2" w14:textId="77777777" w:rsidR="00463573" w:rsidRPr="00BD026A" w:rsidRDefault="00463573" w:rsidP="00E12EF5">
      <w:pPr>
        <w:jc w:val="both"/>
        <w:rPr>
          <w:rFonts w:ascii="Calibri" w:hAnsi="Calibri" w:cs="Calibri"/>
          <w:bCs/>
          <w:szCs w:val="22"/>
        </w:rPr>
      </w:pPr>
    </w:p>
    <w:p w14:paraId="50FEE9D3" w14:textId="77777777" w:rsidR="007C7488" w:rsidRPr="00BD026A" w:rsidRDefault="007C7488" w:rsidP="00463573">
      <w:pPr>
        <w:numPr>
          <w:ilvl w:val="0"/>
          <w:numId w:val="2"/>
        </w:numPr>
        <w:spacing w:after="120"/>
        <w:ind w:left="714" w:hanging="357"/>
        <w:jc w:val="both"/>
        <w:rPr>
          <w:rFonts w:ascii="Calibri" w:hAnsi="Calibri" w:cs="Calibri"/>
          <w:bCs/>
          <w:szCs w:val="22"/>
        </w:rPr>
      </w:pPr>
      <w:r w:rsidRPr="00BD026A">
        <w:rPr>
          <w:rFonts w:ascii="Calibri" w:hAnsi="Calibri" w:cs="Calibri"/>
          <w:bCs/>
          <w:szCs w:val="22"/>
        </w:rPr>
        <w:t>Tuition Fees</w:t>
      </w:r>
    </w:p>
    <w:p w14:paraId="50FEE9D4" w14:textId="77777777" w:rsidR="007C7488" w:rsidRPr="00BD026A" w:rsidRDefault="00862AE1" w:rsidP="00463573">
      <w:pPr>
        <w:numPr>
          <w:ilvl w:val="0"/>
          <w:numId w:val="2"/>
        </w:numPr>
        <w:spacing w:after="120"/>
        <w:ind w:left="714" w:hanging="357"/>
        <w:jc w:val="both"/>
        <w:rPr>
          <w:rFonts w:ascii="Calibri" w:hAnsi="Calibri" w:cs="Calibri"/>
          <w:bCs/>
          <w:szCs w:val="22"/>
        </w:rPr>
      </w:pPr>
      <w:r w:rsidRPr="00BD026A">
        <w:rPr>
          <w:rFonts w:ascii="Calibri" w:hAnsi="Calibri" w:cs="Calibri"/>
          <w:bCs/>
          <w:szCs w:val="22"/>
        </w:rPr>
        <w:t xml:space="preserve">Examination and Registration </w:t>
      </w:r>
      <w:r w:rsidR="00901B98" w:rsidRPr="00BD026A">
        <w:rPr>
          <w:rFonts w:ascii="Calibri" w:hAnsi="Calibri" w:cs="Calibri"/>
          <w:bCs/>
          <w:szCs w:val="22"/>
        </w:rPr>
        <w:t>Fees</w:t>
      </w:r>
    </w:p>
    <w:p w14:paraId="50FEE9D5" w14:textId="77777777" w:rsidR="007C7488" w:rsidRPr="00BD026A" w:rsidRDefault="00E8290E" w:rsidP="00463573">
      <w:pPr>
        <w:numPr>
          <w:ilvl w:val="0"/>
          <w:numId w:val="2"/>
        </w:numPr>
        <w:spacing w:after="120"/>
        <w:ind w:left="714" w:hanging="357"/>
        <w:jc w:val="both"/>
        <w:rPr>
          <w:rFonts w:ascii="Calibri" w:hAnsi="Calibri" w:cs="Calibri"/>
          <w:bCs/>
          <w:szCs w:val="22"/>
        </w:rPr>
      </w:pPr>
      <w:r w:rsidRPr="00BD026A">
        <w:rPr>
          <w:rFonts w:ascii="Calibri" w:hAnsi="Calibri" w:cs="Calibri"/>
          <w:bCs/>
          <w:szCs w:val="22"/>
        </w:rPr>
        <w:t>Materials Fees</w:t>
      </w:r>
    </w:p>
    <w:p w14:paraId="50FEE9D6" w14:textId="77777777" w:rsidR="00E8290E" w:rsidRPr="00BD026A" w:rsidRDefault="00E8290E" w:rsidP="00463573">
      <w:pPr>
        <w:numPr>
          <w:ilvl w:val="0"/>
          <w:numId w:val="2"/>
        </w:numPr>
        <w:spacing w:after="120"/>
        <w:ind w:left="714" w:hanging="357"/>
        <w:jc w:val="both"/>
        <w:rPr>
          <w:rFonts w:ascii="Calibri" w:hAnsi="Calibri" w:cs="Calibri"/>
          <w:bCs/>
          <w:szCs w:val="22"/>
        </w:rPr>
      </w:pPr>
      <w:r w:rsidRPr="00BD026A">
        <w:rPr>
          <w:rFonts w:ascii="Calibri" w:hAnsi="Calibri" w:cs="Calibri"/>
          <w:bCs/>
          <w:szCs w:val="22"/>
        </w:rPr>
        <w:t>Trips Fees</w:t>
      </w:r>
    </w:p>
    <w:p w14:paraId="50FEE9D7" w14:textId="77777777" w:rsidR="007C7488" w:rsidRPr="00BD026A" w:rsidRDefault="007C7488" w:rsidP="00E12EF5">
      <w:pPr>
        <w:jc w:val="both"/>
        <w:rPr>
          <w:rFonts w:ascii="Calibri" w:hAnsi="Calibri" w:cs="Calibri"/>
          <w:bCs/>
          <w:szCs w:val="22"/>
        </w:rPr>
      </w:pPr>
    </w:p>
    <w:p w14:paraId="50FEE9D8" w14:textId="77777777" w:rsidR="00B32AC5" w:rsidRPr="00BD7B14" w:rsidRDefault="00B90AE4" w:rsidP="00E12EF5">
      <w:pPr>
        <w:jc w:val="both"/>
        <w:rPr>
          <w:rFonts w:ascii="Calibri" w:hAnsi="Calibri" w:cs="Calibri"/>
          <w:b/>
          <w:bCs/>
          <w:color w:val="31849B"/>
          <w:sz w:val="28"/>
          <w:szCs w:val="22"/>
        </w:rPr>
      </w:pPr>
      <w:r w:rsidRPr="00BD7B14">
        <w:rPr>
          <w:rFonts w:ascii="Calibri" w:hAnsi="Calibri" w:cs="Calibri"/>
          <w:b/>
          <w:bCs/>
          <w:color w:val="31849B"/>
          <w:sz w:val="28"/>
          <w:szCs w:val="22"/>
        </w:rPr>
        <w:t>General Principles</w:t>
      </w:r>
    </w:p>
    <w:p w14:paraId="50FEE9D9" w14:textId="77777777" w:rsidR="00B90AE4" w:rsidRPr="00BD026A" w:rsidRDefault="00B90AE4" w:rsidP="00E12EF5">
      <w:pPr>
        <w:jc w:val="both"/>
        <w:rPr>
          <w:rFonts w:ascii="Calibri" w:hAnsi="Calibri" w:cs="Calibri"/>
          <w:bCs/>
          <w:szCs w:val="22"/>
        </w:rPr>
      </w:pPr>
    </w:p>
    <w:p w14:paraId="50FEE9DA" w14:textId="77777777" w:rsidR="00B90AE4" w:rsidRPr="00BD026A" w:rsidRDefault="00B90AE4" w:rsidP="00E12EF5">
      <w:pPr>
        <w:jc w:val="both"/>
        <w:rPr>
          <w:rFonts w:ascii="Calibri" w:hAnsi="Calibri" w:cs="Calibri"/>
          <w:bCs/>
          <w:szCs w:val="22"/>
        </w:rPr>
      </w:pPr>
      <w:r w:rsidRPr="00BD026A">
        <w:rPr>
          <w:rFonts w:ascii="Calibri" w:hAnsi="Calibri" w:cs="Calibri"/>
          <w:bCs/>
          <w:szCs w:val="22"/>
        </w:rPr>
        <w:t xml:space="preserve">The College will seek at all times to clearly publish accurate and timely information about its fees. </w:t>
      </w:r>
    </w:p>
    <w:p w14:paraId="50FEE9DB" w14:textId="77777777" w:rsidR="00B90AE4" w:rsidRPr="00BD026A" w:rsidRDefault="00B90AE4" w:rsidP="00E12EF5">
      <w:pPr>
        <w:jc w:val="both"/>
        <w:rPr>
          <w:rFonts w:ascii="Calibri" w:hAnsi="Calibri" w:cs="Calibri"/>
          <w:bCs/>
          <w:szCs w:val="22"/>
        </w:rPr>
      </w:pPr>
    </w:p>
    <w:p w14:paraId="50FEE9DC" w14:textId="77777777" w:rsidR="00B90AE4" w:rsidRPr="00BD026A" w:rsidRDefault="00B90AE4" w:rsidP="00E12EF5">
      <w:pPr>
        <w:jc w:val="both"/>
        <w:rPr>
          <w:rFonts w:ascii="Calibri" w:hAnsi="Calibri" w:cs="Calibri"/>
          <w:bCs/>
          <w:szCs w:val="22"/>
        </w:rPr>
      </w:pPr>
      <w:r w:rsidRPr="00BD026A">
        <w:rPr>
          <w:rFonts w:ascii="Calibri" w:hAnsi="Calibri" w:cs="Calibri"/>
          <w:bCs/>
          <w:szCs w:val="22"/>
        </w:rPr>
        <w:t>The College will aim to maintain published fee levels wherever possible, but reserves the right in exceptional circumstances to change fees and other charges without prior notice.</w:t>
      </w:r>
    </w:p>
    <w:p w14:paraId="50FEE9DD" w14:textId="77777777" w:rsidR="00B90AE4" w:rsidRPr="00BD026A" w:rsidRDefault="00B90AE4" w:rsidP="00E12EF5">
      <w:pPr>
        <w:jc w:val="both"/>
        <w:rPr>
          <w:rFonts w:ascii="Calibri" w:hAnsi="Calibri" w:cs="Calibri"/>
          <w:bCs/>
          <w:szCs w:val="22"/>
        </w:rPr>
      </w:pPr>
    </w:p>
    <w:p w14:paraId="50FEE9DE" w14:textId="77777777" w:rsidR="00B90AE4" w:rsidRPr="00BD026A" w:rsidRDefault="00B90AE4" w:rsidP="00E12EF5">
      <w:pPr>
        <w:jc w:val="both"/>
        <w:rPr>
          <w:rFonts w:ascii="Calibri" w:hAnsi="Calibri" w:cs="Calibri"/>
          <w:bCs/>
          <w:szCs w:val="22"/>
        </w:rPr>
      </w:pPr>
      <w:r w:rsidRPr="00BD026A">
        <w:rPr>
          <w:rFonts w:ascii="Calibri" w:hAnsi="Calibri" w:cs="Calibri"/>
          <w:bCs/>
          <w:szCs w:val="22"/>
        </w:rPr>
        <w:t>The College will implement and maintain procedures which ensure the accurate assessment of fees due and to ensure that this fees policy is applied fairly and consistently across all courses and programme areas.</w:t>
      </w:r>
    </w:p>
    <w:p w14:paraId="50FEE9DF" w14:textId="77777777" w:rsidR="00B90AE4" w:rsidRPr="00BD026A" w:rsidRDefault="00B90AE4" w:rsidP="00E12EF5">
      <w:pPr>
        <w:jc w:val="both"/>
        <w:rPr>
          <w:rFonts w:ascii="Calibri" w:hAnsi="Calibri" w:cs="Calibri"/>
          <w:bCs/>
          <w:szCs w:val="22"/>
        </w:rPr>
      </w:pPr>
    </w:p>
    <w:p w14:paraId="50FEE9E0" w14:textId="77777777" w:rsidR="00B90AE4" w:rsidRPr="00BD026A" w:rsidRDefault="00B90AE4" w:rsidP="00E12EF5">
      <w:pPr>
        <w:jc w:val="both"/>
        <w:rPr>
          <w:rFonts w:ascii="Calibri" w:hAnsi="Calibri" w:cs="Calibri"/>
          <w:bCs/>
          <w:szCs w:val="22"/>
        </w:rPr>
      </w:pPr>
      <w:r w:rsidRPr="00BD026A">
        <w:rPr>
          <w:rFonts w:ascii="Calibri" w:hAnsi="Calibri" w:cs="Calibri"/>
          <w:bCs/>
          <w:szCs w:val="22"/>
        </w:rPr>
        <w:t xml:space="preserve">Individual students (and/or their sponsors) are responsible for ensuring the prompt payment of all fees due and for the timely and accurate provision of all information required to enable </w:t>
      </w:r>
      <w:r w:rsidR="00AE0BD2" w:rsidRPr="00BD026A">
        <w:rPr>
          <w:rFonts w:ascii="Calibri" w:hAnsi="Calibri" w:cs="Calibri"/>
          <w:bCs/>
          <w:szCs w:val="22"/>
        </w:rPr>
        <w:t xml:space="preserve">the accurate </w:t>
      </w:r>
      <w:r w:rsidRPr="00BD026A">
        <w:rPr>
          <w:rFonts w:ascii="Calibri" w:hAnsi="Calibri" w:cs="Calibri"/>
          <w:bCs/>
          <w:szCs w:val="22"/>
        </w:rPr>
        <w:t xml:space="preserve">assessment and </w:t>
      </w:r>
      <w:r w:rsidR="00AE0BD2" w:rsidRPr="00BD026A">
        <w:rPr>
          <w:rFonts w:ascii="Calibri" w:hAnsi="Calibri" w:cs="Calibri"/>
          <w:bCs/>
          <w:szCs w:val="22"/>
        </w:rPr>
        <w:t xml:space="preserve">prompt </w:t>
      </w:r>
      <w:r w:rsidRPr="00BD026A">
        <w:rPr>
          <w:rFonts w:ascii="Calibri" w:hAnsi="Calibri" w:cs="Calibri"/>
          <w:bCs/>
          <w:szCs w:val="22"/>
        </w:rPr>
        <w:t>collection of fees.</w:t>
      </w:r>
    </w:p>
    <w:p w14:paraId="50FEE9E1" w14:textId="77777777" w:rsidR="00B90AE4" w:rsidRPr="00BD026A" w:rsidRDefault="00B90AE4" w:rsidP="00E12EF5">
      <w:pPr>
        <w:jc w:val="both"/>
        <w:rPr>
          <w:rFonts w:ascii="Calibri" w:hAnsi="Calibri" w:cs="Calibri"/>
          <w:bCs/>
          <w:szCs w:val="22"/>
        </w:rPr>
      </w:pPr>
    </w:p>
    <w:p w14:paraId="50FEE9E2" w14:textId="7E150F32" w:rsidR="00B90AE4" w:rsidRPr="00BD026A" w:rsidRDefault="00B90AE4" w:rsidP="00E12EF5">
      <w:pPr>
        <w:jc w:val="both"/>
        <w:rPr>
          <w:rFonts w:ascii="Calibri" w:hAnsi="Calibri" w:cs="Calibri"/>
          <w:bCs/>
          <w:szCs w:val="22"/>
        </w:rPr>
      </w:pPr>
      <w:r w:rsidRPr="00F6749E">
        <w:rPr>
          <w:rFonts w:ascii="Calibri" w:hAnsi="Calibri" w:cs="Calibri"/>
          <w:bCs/>
          <w:szCs w:val="22"/>
        </w:rPr>
        <w:t>The College may reduce or waive its fees in cases of financial hardship</w:t>
      </w:r>
      <w:r w:rsidR="00C365DF" w:rsidRPr="00F6749E">
        <w:rPr>
          <w:rFonts w:ascii="Calibri" w:hAnsi="Calibri" w:cs="Calibri"/>
          <w:bCs/>
          <w:szCs w:val="22"/>
        </w:rPr>
        <w:t xml:space="preserve"> (excluding tuition fees)</w:t>
      </w:r>
      <w:r w:rsidRPr="00F6749E">
        <w:rPr>
          <w:rFonts w:ascii="Calibri" w:hAnsi="Calibri" w:cs="Calibri"/>
          <w:bCs/>
          <w:szCs w:val="22"/>
        </w:rPr>
        <w:t>. The circumstances in which these apply are set out in the Bursary Policy.</w:t>
      </w:r>
    </w:p>
    <w:p w14:paraId="50FEE9E3" w14:textId="77777777" w:rsidR="004A6FB9" w:rsidRPr="00BD026A" w:rsidRDefault="004A6FB9" w:rsidP="00E12EF5">
      <w:pPr>
        <w:jc w:val="both"/>
        <w:rPr>
          <w:rFonts w:ascii="Calibri" w:hAnsi="Calibri" w:cs="Calibri"/>
          <w:bCs/>
          <w:szCs w:val="22"/>
        </w:rPr>
      </w:pPr>
    </w:p>
    <w:p w14:paraId="50FEE9E4" w14:textId="77777777" w:rsidR="004A6FB9" w:rsidRPr="00BD7B14" w:rsidRDefault="00B63C94" w:rsidP="00E12EF5">
      <w:pPr>
        <w:jc w:val="both"/>
        <w:rPr>
          <w:rFonts w:ascii="Calibri" w:hAnsi="Calibri" w:cs="Calibri"/>
          <w:b/>
          <w:bCs/>
          <w:color w:val="31849B"/>
          <w:szCs w:val="22"/>
        </w:rPr>
      </w:pPr>
      <w:r w:rsidRPr="00BD026A">
        <w:rPr>
          <w:rFonts w:ascii="Calibri" w:hAnsi="Calibri" w:cs="Calibri"/>
          <w:b/>
          <w:bCs/>
          <w:szCs w:val="22"/>
        </w:rPr>
        <w:br w:type="page"/>
      </w:r>
      <w:r w:rsidR="004A6FB9" w:rsidRPr="00BD7B14">
        <w:rPr>
          <w:rFonts w:ascii="Calibri" w:hAnsi="Calibri" w:cs="Calibri"/>
          <w:b/>
          <w:bCs/>
          <w:color w:val="31849B"/>
          <w:sz w:val="28"/>
          <w:szCs w:val="22"/>
        </w:rPr>
        <w:t>Tuition Fees</w:t>
      </w:r>
    </w:p>
    <w:p w14:paraId="50FEE9E5" w14:textId="77777777" w:rsidR="004A6FB9" w:rsidRPr="00BD026A" w:rsidRDefault="004A6FB9" w:rsidP="00E12EF5">
      <w:pPr>
        <w:jc w:val="both"/>
        <w:rPr>
          <w:rFonts w:ascii="Calibri" w:hAnsi="Calibri" w:cs="Calibri"/>
          <w:bCs/>
          <w:szCs w:val="22"/>
        </w:rPr>
      </w:pPr>
    </w:p>
    <w:p w14:paraId="50FEE9E6" w14:textId="77777777" w:rsidR="004A6FB9" w:rsidRPr="00BD026A" w:rsidRDefault="004A6FB9" w:rsidP="00E12EF5">
      <w:pPr>
        <w:jc w:val="both"/>
        <w:rPr>
          <w:rFonts w:ascii="Calibri" w:hAnsi="Calibri" w:cs="Calibri"/>
          <w:bCs/>
          <w:szCs w:val="22"/>
        </w:rPr>
      </w:pPr>
      <w:r w:rsidRPr="00BD026A">
        <w:rPr>
          <w:rFonts w:ascii="Calibri" w:hAnsi="Calibri" w:cs="Calibri"/>
          <w:bCs/>
          <w:szCs w:val="22"/>
        </w:rPr>
        <w:t>As a general rule, all tuition fees due must be paid to the College in full prior to the commencement of the course to which the fees relate. However, in order to ensure the widest possible participation the Finance Director (or his duly authorised representative) may agree to permit fees to be paid in instalments.</w:t>
      </w:r>
    </w:p>
    <w:p w14:paraId="50FEE9E7" w14:textId="77777777" w:rsidR="004A6FB9" w:rsidRPr="00BD026A" w:rsidRDefault="004A6FB9" w:rsidP="00E12EF5">
      <w:pPr>
        <w:jc w:val="both"/>
        <w:rPr>
          <w:rFonts w:ascii="Calibri" w:hAnsi="Calibri" w:cs="Calibri"/>
          <w:bCs/>
          <w:szCs w:val="22"/>
        </w:rPr>
      </w:pPr>
    </w:p>
    <w:p w14:paraId="50FEE9E8" w14:textId="6604AB8A" w:rsidR="004A6FB9" w:rsidRPr="00BD026A" w:rsidRDefault="004A6FB9" w:rsidP="00E12EF5">
      <w:pPr>
        <w:jc w:val="both"/>
        <w:rPr>
          <w:rFonts w:ascii="Calibri" w:hAnsi="Calibri" w:cs="Calibri"/>
          <w:bCs/>
          <w:szCs w:val="22"/>
        </w:rPr>
      </w:pPr>
      <w:r w:rsidRPr="00BD026A">
        <w:rPr>
          <w:rFonts w:ascii="Calibri" w:hAnsi="Calibri" w:cs="Calibri"/>
          <w:bCs/>
          <w:szCs w:val="22"/>
        </w:rPr>
        <w:t xml:space="preserve">The </w:t>
      </w:r>
      <w:r w:rsidR="006D28DF">
        <w:rPr>
          <w:rFonts w:ascii="Calibri" w:hAnsi="Calibri" w:cs="Calibri"/>
          <w:bCs/>
          <w:szCs w:val="22"/>
        </w:rPr>
        <w:t xml:space="preserve">Education </w:t>
      </w:r>
      <w:r w:rsidRPr="00BD026A">
        <w:rPr>
          <w:rFonts w:ascii="Calibri" w:hAnsi="Calibri" w:cs="Calibri"/>
          <w:bCs/>
          <w:szCs w:val="22"/>
        </w:rPr>
        <w:t>Skills Funding Agency (“</w:t>
      </w:r>
      <w:r w:rsidR="006D28DF">
        <w:rPr>
          <w:rFonts w:ascii="Calibri" w:hAnsi="Calibri" w:cs="Calibri"/>
          <w:bCs/>
          <w:szCs w:val="22"/>
        </w:rPr>
        <w:t>E</w:t>
      </w:r>
      <w:r w:rsidRPr="00BD026A">
        <w:rPr>
          <w:rFonts w:ascii="Calibri" w:hAnsi="Calibri" w:cs="Calibri"/>
          <w:bCs/>
          <w:szCs w:val="22"/>
        </w:rPr>
        <w:t xml:space="preserve">SFA”) publish rules outlining the criteria in which students are eligible to attract full or partial funding for their course fees. These rules may change from time to time. Should the </w:t>
      </w:r>
      <w:r w:rsidR="006D28DF">
        <w:rPr>
          <w:rFonts w:ascii="Calibri" w:hAnsi="Calibri" w:cs="Calibri"/>
          <w:bCs/>
          <w:szCs w:val="22"/>
        </w:rPr>
        <w:t>E</w:t>
      </w:r>
      <w:r w:rsidR="0067279D" w:rsidRPr="00BD026A">
        <w:rPr>
          <w:rFonts w:ascii="Calibri" w:hAnsi="Calibri" w:cs="Calibri"/>
          <w:bCs/>
          <w:szCs w:val="22"/>
        </w:rPr>
        <w:t>S</w:t>
      </w:r>
      <w:r w:rsidRPr="00BD026A">
        <w:rPr>
          <w:rFonts w:ascii="Calibri" w:hAnsi="Calibri" w:cs="Calibri"/>
          <w:bCs/>
          <w:szCs w:val="22"/>
        </w:rPr>
        <w:t xml:space="preserve">FA rules conflict with any part of this policy, the </w:t>
      </w:r>
      <w:r w:rsidR="006D28DF">
        <w:rPr>
          <w:rFonts w:ascii="Calibri" w:hAnsi="Calibri" w:cs="Calibri"/>
          <w:bCs/>
          <w:szCs w:val="22"/>
        </w:rPr>
        <w:t>E</w:t>
      </w:r>
      <w:r w:rsidR="0067279D" w:rsidRPr="00BD026A">
        <w:rPr>
          <w:rFonts w:ascii="Calibri" w:hAnsi="Calibri" w:cs="Calibri"/>
          <w:bCs/>
          <w:szCs w:val="22"/>
        </w:rPr>
        <w:t>S</w:t>
      </w:r>
      <w:r w:rsidRPr="00BD026A">
        <w:rPr>
          <w:rFonts w:ascii="Calibri" w:hAnsi="Calibri" w:cs="Calibri"/>
          <w:bCs/>
          <w:szCs w:val="22"/>
        </w:rPr>
        <w:t xml:space="preserve">FA </w:t>
      </w:r>
      <w:r w:rsidR="00AE0BD2" w:rsidRPr="00BD026A">
        <w:rPr>
          <w:rFonts w:ascii="Calibri" w:hAnsi="Calibri" w:cs="Calibri"/>
          <w:bCs/>
          <w:szCs w:val="22"/>
        </w:rPr>
        <w:t>funding rules will take</w:t>
      </w:r>
      <w:r w:rsidRPr="00BD026A">
        <w:rPr>
          <w:rFonts w:ascii="Calibri" w:hAnsi="Calibri" w:cs="Calibri"/>
          <w:bCs/>
          <w:szCs w:val="22"/>
        </w:rPr>
        <w:t xml:space="preserve"> precedence.</w:t>
      </w:r>
    </w:p>
    <w:p w14:paraId="50FEE9E9" w14:textId="77777777" w:rsidR="004A6FB9" w:rsidRPr="00BD026A" w:rsidRDefault="004A6FB9" w:rsidP="00E12EF5">
      <w:pPr>
        <w:jc w:val="both"/>
        <w:rPr>
          <w:rFonts w:ascii="Calibri" w:hAnsi="Calibri" w:cs="Calibri"/>
          <w:bCs/>
          <w:szCs w:val="22"/>
        </w:rPr>
      </w:pPr>
    </w:p>
    <w:p w14:paraId="50FEE9EA" w14:textId="23835D45" w:rsidR="004A6FB9" w:rsidRPr="00BD026A" w:rsidRDefault="004A6FB9" w:rsidP="00E12EF5">
      <w:pPr>
        <w:jc w:val="both"/>
        <w:rPr>
          <w:rFonts w:ascii="Calibri" w:hAnsi="Calibri" w:cs="Calibri"/>
          <w:bCs/>
          <w:szCs w:val="22"/>
        </w:rPr>
      </w:pPr>
      <w:r w:rsidRPr="00BD026A">
        <w:rPr>
          <w:rFonts w:ascii="Calibri" w:hAnsi="Calibri" w:cs="Calibri"/>
          <w:bCs/>
          <w:szCs w:val="22"/>
        </w:rPr>
        <w:t xml:space="preserve">Students who are not eligible for funding from the </w:t>
      </w:r>
      <w:r w:rsidR="006D28DF">
        <w:rPr>
          <w:rFonts w:ascii="Calibri" w:hAnsi="Calibri" w:cs="Calibri"/>
          <w:bCs/>
          <w:szCs w:val="22"/>
        </w:rPr>
        <w:t>E</w:t>
      </w:r>
      <w:r w:rsidRPr="00BD026A">
        <w:rPr>
          <w:rFonts w:ascii="Calibri" w:hAnsi="Calibri" w:cs="Calibri"/>
          <w:bCs/>
          <w:szCs w:val="22"/>
        </w:rPr>
        <w:t>SFA will be charged the full cost of the provision as determined by the Finance Director and as published in the College’s Full and Part Time Guides</w:t>
      </w:r>
      <w:r w:rsidR="00AE0BD2" w:rsidRPr="00BD026A">
        <w:rPr>
          <w:rFonts w:ascii="Calibri" w:hAnsi="Calibri" w:cs="Calibri"/>
          <w:bCs/>
          <w:szCs w:val="22"/>
        </w:rPr>
        <w:t xml:space="preserve"> or on the College’s website</w:t>
      </w:r>
      <w:r w:rsidRPr="00BD026A">
        <w:rPr>
          <w:rFonts w:ascii="Calibri" w:hAnsi="Calibri" w:cs="Calibri"/>
          <w:bCs/>
          <w:szCs w:val="22"/>
        </w:rPr>
        <w:t>. This also appl</w:t>
      </w:r>
      <w:r w:rsidR="0067279D" w:rsidRPr="00BD026A">
        <w:rPr>
          <w:rFonts w:ascii="Calibri" w:hAnsi="Calibri" w:cs="Calibri"/>
          <w:bCs/>
          <w:szCs w:val="22"/>
        </w:rPr>
        <w:t>ies to courses which do not attr</w:t>
      </w:r>
      <w:r w:rsidRPr="00BD026A">
        <w:rPr>
          <w:rFonts w:ascii="Calibri" w:hAnsi="Calibri" w:cs="Calibri"/>
          <w:bCs/>
          <w:szCs w:val="22"/>
        </w:rPr>
        <w:t>act</w:t>
      </w:r>
      <w:r w:rsidR="0067279D" w:rsidRPr="00BD026A">
        <w:rPr>
          <w:rFonts w:ascii="Calibri" w:hAnsi="Calibri" w:cs="Calibri"/>
          <w:bCs/>
          <w:szCs w:val="22"/>
        </w:rPr>
        <w:t xml:space="preserve"> funding from the </w:t>
      </w:r>
      <w:r w:rsidR="00492035">
        <w:rPr>
          <w:rFonts w:ascii="Calibri" w:hAnsi="Calibri" w:cs="Calibri"/>
          <w:bCs/>
          <w:szCs w:val="22"/>
        </w:rPr>
        <w:t>E</w:t>
      </w:r>
      <w:r w:rsidR="0067279D" w:rsidRPr="00BD026A">
        <w:rPr>
          <w:rFonts w:ascii="Calibri" w:hAnsi="Calibri" w:cs="Calibri"/>
          <w:bCs/>
          <w:szCs w:val="22"/>
        </w:rPr>
        <w:t>SFA</w:t>
      </w:r>
      <w:r w:rsidR="00492035">
        <w:rPr>
          <w:rFonts w:ascii="Calibri" w:hAnsi="Calibri" w:cs="Calibri"/>
          <w:bCs/>
          <w:szCs w:val="22"/>
        </w:rPr>
        <w:t>.</w:t>
      </w:r>
    </w:p>
    <w:p w14:paraId="50FEE9EB" w14:textId="77777777" w:rsidR="004A6FB9" w:rsidRPr="00BD026A" w:rsidRDefault="004A6FB9" w:rsidP="00E12EF5">
      <w:pPr>
        <w:jc w:val="both"/>
        <w:rPr>
          <w:rFonts w:ascii="Calibri" w:hAnsi="Calibri" w:cs="Calibri"/>
          <w:bCs/>
          <w:szCs w:val="22"/>
        </w:rPr>
      </w:pPr>
    </w:p>
    <w:p w14:paraId="50FEE9EC" w14:textId="700B000C" w:rsidR="004A6FB9" w:rsidRDefault="004A6FB9" w:rsidP="00E12EF5">
      <w:pPr>
        <w:jc w:val="both"/>
        <w:rPr>
          <w:rFonts w:ascii="Calibri" w:hAnsi="Calibri" w:cs="Calibri"/>
          <w:bCs/>
          <w:szCs w:val="22"/>
        </w:rPr>
      </w:pPr>
      <w:r w:rsidRPr="00BD026A">
        <w:rPr>
          <w:rFonts w:ascii="Calibri" w:hAnsi="Calibri" w:cs="Calibri"/>
          <w:bCs/>
          <w:szCs w:val="22"/>
        </w:rPr>
        <w:t>Tuition fees for Higher Education</w:t>
      </w:r>
      <w:r w:rsidR="00AE0BD2" w:rsidRPr="00BD026A">
        <w:rPr>
          <w:rFonts w:ascii="Calibri" w:hAnsi="Calibri" w:cs="Calibri"/>
          <w:bCs/>
          <w:szCs w:val="22"/>
        </w:rPr>
        <w:t xml:space="preserve"> courses delivered on behalf of the University of Hertfordshire </w:t>
      </w:r>
      <w:r w:rsidRPr="00BD026A">
        <w:rPr>
          <w:rFonts w:ascii="Calibri" w:hAnsi="Calibri" w:cs="Calibri"/>
          <w:bCs/>
          <w:szCs w:val="22"/>
        </w:rPr>
        <w:t>are set by the University</w:t>
      </w:r>
      <w:r w:rsidR="00BE4F94" w:rsidRPr="00BD026A">
        <w:rPr>
          <w:rFonts w:ascii="Calibri" w:hAnsi="Calibri" w:cs="Calibri"/>
          <w:bCs/>
          <w:szCs w:val="22"/>
        </w:rPr>
        <w:t>. Fees for HNC and HND programmes are payable directly to the college. Fees for Foundation and Honours Degrees are payable to the University</w:t>
      </w:r>
      <w:r w:rsidRPr="00BD026A">
        <w:rPr>
          <w:rFonts w:ascii="Calibri" w:hAnsi="Calibri" w:cs="Calibri"/>
          <w:bCs/>
          <w:szCs w:val="22"/>
        </w:rPr>
        <w:t xml:space="preserve"> and they should be contacted directly for further details.</w:t>
      </w:r>
    </w:p>
    <w:p w14:paraId="47A92A31" w14:textId="77777777" w:rsidR="00D7711A" w:rsidRDefault="00D7711A" w:rsidP="00E12EF5">
      <w:pPr>
        <w:jc w:val="both"/>
      </w:pPr>
    </w:p>
    <w:p w14:paraId="710DB5EE" w14:textId="6394121C" w:rsidR="00D7711A" w:rsidRPr="002577FA" w:rsidRDefault="00D7711A" w:rsidP="00E12EF5">
      <w:pPr>
        <w:jc w:val="both"/>
        <w:rPr>
          <w:rFonts w:ascii="Calibri" w:hAnsi="Calibri" w:cs="Calibri"/>
          <w:bCs/>
          <w:szCs w:val="22"/>
        </w:rPr>
      </w:pPr>
      <w:r w:rsidRPr="002577FA">
        <w:rPr>
          <w:rFonts w:ascii="Calibri" w:hAnsi="Calibri" w:cs="Calibri"/>
          <w:bCs/>
          <w:szCs w:val="22"/>
        </w:rPr>
        <w:t xml:space="preserve">To apply for a Higher Education student loan to pay the tuition fees, students must apply to https://www.gov.uk/student-finance . If eligible, the tuition fee will be paid directly by the Student Loans Company (SLC). A student must bring a copy of their student finance application to enrolment. A student will not be permitted to enrol without proof of application. A student will be allowed up to 14 days after enrolment to provide their student loan application number. If for any reason a student is not successful in their student loan application they become liable for their tuition fees </w:t>
      </w:r>
      <w:r w:rsidR="00F978EA" w:rsidRPr="002577FA">
        <w:rPr>
          <w:rFonts w:ascii="Calibri" w:hAnsi="Calibri" w:cs="Calibri"/>
          <w:bCs/>
          <w:szCs w:val="22"/>
        </w:rPr>
        <w:t xml:space="preserve">(which must be paid in line with the liability dates outlined in Appendix 3) </w:t>
      </w:r>
      <w:r w:rsidRPr="002577FA">
        <w:rPr>
          <w:rFonts w:ascii="Calibri" w:hAnsi="Calibri" w:cs="Calibri"/>
          <w:bCs/>
          <w:szCs w:val="22"/>
        </w:rPr>
        <w:t>or they will not be able to continue their course</w:t>
      </w:r>
      <w:r w:rsidR="00C26C2C">
        <w:rPr>
          <w:rFonts w:ascii="Calibri" w:hAnsi="Calibri" w:cs="Calibri"/>
          <w:bCs/>
          <w:szCs w:val="22"/>
        </w:rPr>
        <w:t>.</w:t>
      </w:r>
    </w:p>
    <w:p w14:paraId="50FEE9ED" w14:textId="77777777" w:rsidR="004A6FB9" w:rsidRPr="00BD026A" w:rsidRDefault="004A6FB9" w:rsidP="00E12EF5">
      <w:pPr>
        <w:jc w:val="both"/>
        <w:rPr>
          <w:rFonts w:ascii="Calibri" w:hAnsi="Calibri" w:cs="Calibri"/>
          <w:bCs/>
          <w:szCs w:val="22"/>
        </w:rPr>
      </w:pPr>
    </w:p>
    <w:p w14:paraId="22C53A06" w14:textId="1F07924D" w:rsidR="001C4C02" w:rsidRPr="002577FA" w:rsidRDefault="001C4C02" w:rsidP="001C4C02">
      <w:pPr>
        <w:spacing w:after="240"/>
        <w:rPr>
          <w:rFonts w:ascii="Calibri" w:hAnsi="Calibri" w:cs="Calibri"/>
          <w:bCs/>
          <w:szCs w:val="22"/>
        </w:rPr>
      </w:pPr>
      <w:r w:rsidRPr="002577FA">
        <w:rPr>
          <w:rFonts w:ascii="Calibri" w:hAnsi="Calibri" w:cs="Calibri"/>
          <w:bCs/>
          <w:szCs w:val="22"/>
        </w:rPr>
        <w:t xml:space="preserve">If an employer or other sponsor is paying the tuition fees the student will need to provide a completed and signed sponsor form </w:t>
      </w:r>
      <w:r w:rsidR="00C365DF">
        <w:rPr>
          <w:rFonts w:ascii="Calibri" w:hAnsi="Calibri" w:cs="Calibri"/>
          <w:bCs/>
          <w:szCs w:val="22"/>
        </w:rPr>
        <w:t>within 2 wee</w:t>
      </w:r>
      <w:r w:rsidR="00B03384">
        <w:rPr>
          <w:rFonts w:ascii="Calibri" w:hAnsi="Calibri" w:cs="Calibri"/>
          <w:bCs/>
          <w:szCs w:val="22"/>
        </w:rPr>
        <w:t>k</w:t>
      </w:r>
      <w:r w:rsidR="00C365DF">
        <w:rPr>
          <w:rFonts w:ascii="Calibri" w:hAnsi="Calibri" w:cs="Calibri"/>
          <w:bCs/>
          <w:szCs w:val="22"/>
        </w:rPr>
        <w:t>s of</w:t>
      </w:r>
      <w:r w:rsidRPr="002577FA">
        <w:rPr>
          <w:rFonts w:ascii="Calibri" w:hAnsi="Calibri" w:cs="Calibri"/>
          <w:bCs/>
          <w:szCs w:val="22"/>
        </w:rPr>
        <w:t xml:space="preserve"> enrolment. The student, unless </w:t>
      </w:r>
      <w:r w:rsidR="00673230" w:rsidRPr="002577FA">
        <w:rPr>
          <w:rFonts w:ascii="Calibri" w:hAnsi="Calibri" w:cs="Calibri"/>
          <w:bCs/>
          <w:szCs w:val="22"/>
        </w:rPr>
        <w:t>the</w:t>
      </w:r>
      <w:r w:rsidRPr="002577FA">
        <w:rPr>
          <w:rFonts w:ascii="Calibri" w:hAnsi="Calibri" w:cs="Calibri"/>
          <w:bCs/>
          <w:szCs w:val="22"/>
        </w:rPr>
        <w:t xml:space="preserve"> off</w:t>
      </w:r>
      <w:r w:rsidR="00673230" w:rsidRPr="002577FA">
        <w:rPr>
          <w:rFonts w:ascii="Calibri" w:hAnsi="Calibri" w:cs="Calibri"/>
          <w:bCs/>
          <w:szCs w:val="22"/>
        </w:rPr>
        <w:t xml:space="preserve">er letter expressly informs </w:t>
      </w:r>
      <w:r w:rsidRPr="002577FA">
        <w:rPr>
          <w:rFonts w:ascii="Calibri" w:hAnsi="Calibri" w:cs="Calibri"/>
          <w:bCs/>
          <w:szCs w:val="22"/>
        </w:rPr>
        <w:t>otherwise, will be liable for the fees if they do not provide the form or if the</w:t>
      </w:r>
      <w:r w:rsidR="006D28DF">
        <w:rPr>
          <w:rFonts w:ascii="Calibri" w:hAnsi="Calibri" w:cs="Calibri"/>
          <w:bCs/>
          <w:szCs w:val="22"/>
        </w:rPr>
        <w:t xml:space="preserve"> sponsor does not pay the fees.</w:t>
      </w:r>
      <w:r w:rsidRPr="002577FA">
        <w:rPr>
          <w:rFonts w:ascii="Calibri" w:hAnsi="Calibri" w:cs="Calibri"/>
          <w:bCs/>
          <w:szCs w:val="22"/>
        </w:rPr>
        <w:t xml:space="preserve">   </w:t>
      </w:r>
    </w:p>
    <w:p w14:paraId="50FEE9EE" w14:textId="779051FE" w:rsidR="004A6FB9" w:rsidRPr="00BD026A" w:rsidRDefault="004A6FB9" w:rsidP="00E12EF5">
      <w:pPr>
        <w:jc w:val="both"/>
        <w:rPr>
          <w:rFonts w:ascii="Calibri" w:hAnsi="Calibri" w:cs="Calibri"/>
          <w:bCs/>
          <w:szCs w:val="22"/>
        </w:rPr>
      </w:pPr>
      <w:r w:rsidRPr="00BD026A">
        <w:rPr>
          <w:rFonts w:ascii="Calibri" w:hAnsi="Calibri" w:cs="Calibri"/>
          <w:bCs/>
          <w:szCs w:val="22"/>
        </w:rPr>
        <w:t xml:space="preserve">Separate funding arrangements exist where students are attending College provision as partnerships with schools and other agencies. </w:t>
      </w:r>
      <w:r w:rsidR="00BE4F94" w:rsidRPr="00BD026A">
        <w:rPr>
          <w:rFonts w:ascii="Calibri" w:hAnsi="Calibri" w:cs="Calibri"/>
          <w:bCs/>
          <w:szCs w:val="22"/>
        </w:rPr>
        <w:t xml:space="preserve"> These contractual arrangements are overseen by the Finance Director.</w:t>
      </w:r>
    </w:p>
    <w:p w14:paraId="50FEE9EF" w14:textId="77777777" w:rsidR="00B32AC5" w:rsidRPr="00BD026A" w:rsidRDefault="00B32AC5" w:rsidP="00E12EF5">
      <w:pPr>
        <w:jc w:val="both"/>
        <w:rPr>
          <w:rFonts w:ascii="Calibri" w:hAnsi="Calibri" w:cs="Calibri"/>
          <w:bCs/>
          <w:szCs w:val="22"/>
        </w:rPr>
      </w:pPr>
    </w:p>
    <w:p w14:paraId="50FEE9F0" w14:textId="77777777" w:rsidR="00862AE1" w:rsidRPr="00BD7B14" w:rsidRDefault="00862AE1" w:rsidP="00E12EF5">
      <w:pPr>
        <w:jc w:val="both"/>
        <w:rPr>
          <w:rFonts w:ascii="Calibri" w:hAnsi="Calibri" w:cs="Calibri"/>
          <w:b/>
          <w:bCs/>
          <w:color w:val="31849B"/>
          <w:sz w:val="28"/>
          <w:szCs w:val="22"/>
        </w:rPr>
      </w:pPr>
      <w:r w:rsidRPr="00BD7B14">
        <w:rPr>
          <w:rFonts w:ascii="Calibri" w:hAnsi="Calibri" w:cs="Calibri"/>
          <w:b/>
          <w:bCs/>
          <w:color w:val="31849B"/>
          <w:sz w:val="28"/>
          <w:szCs w:val="22"/>
        </w:rPr>
        <w:t>Examination</w:t>
      </w:r>
      <w:r w:rsidR="00BE4F94" w:rsidRPr="00BD7B14">
        <w:rPr>
          <w:rFonts w:ascii="Calibri" w:hAnsi="Calibri" w:cs="Calibri"/>
          <w:b/>
          <w:bCs/>
          <w:color w:val="31849B"/>
          <w:sz w:val="28"/>
          <w:szCs w:val="22"/>
        </w:rPr>
        <w:t>/Awarding Body</w:t>
      </w:r>
      <w:r w:rsidRPr="00BD7B14">
        <w:rPr>
          <w:rFonts w:ascii="Calibri" w:hAnsi="Calibri" w:cs="Calibri"/>
          <w:b/>
          <w:bCs/>
          <w:color w:val="31849B"/>
          <w:sz w:val="28"/>
          <w:szCs w:val="22"/>
        </w:rPr>
        <w:t xml:space="preserve"> and </w:t>
      </w:r>
      <w:r w:rsidR="00BE4F94" w:rsidRPr="00BD7B14">
        <w:rPr>
          <w:rFonts w:ascii="Calibri" w:hAnsi="Calibri" w:cs="Calibri"/>
          <w:b/>
          <w:bCs/>
          <w:color w:val="31849B"/>
          <w:sz w:val="28"/>
          <w:szCs w:val="22"/>
        </w:rPr>
        <w:t xml:space="preserve">College </w:t>
      </w:r>
      <w:r w:rsidRPr="00BD7B14">
        <w:rPr>
          <w:rFonts w:ascii="Calibri" w:hAnsi="Calibri" w:cs="Calibri"/>
          <w:b/>
          <w:bCs/>
          <w:color w:val="31849B"/>
          <w:sz w:val="28"/>
          <w:szCs w:val="22"/>
        </w:rPr>
        <w:t>Registration Fees</w:t>
      </w:r>
    </w:p>
    <w:p w14:paraId="50FEE9F1" w14:textId="77777777" w:rsidR="00862AE1" w:rsidRPr="00BD026A" w:rsidRDefault="00862AE1" w:rsidP="00E12EF5">
      <w:pPr>
        <w:jc w:val="both"/>
        <w:rPr>
          <w:rFonts w:ascii="Calibri" w:hAnsi="Calibri" w:cs="Calibri"/>
          <w:bCs/>
          <w:szCs w:val="22"/>
        </w:rPr>
      </w:pPr>
    </w:p>
    <w:p w14:paraId="50FEE9F2" w14:textId="05678EE8" w:rsidR="00862AE1" w:rsidRPr="00BD026A" w:rsidRDefault="00862AE1" w:rsidP="00E12EF5">
      <w:pPr>
        <w:jc w:val="both"/>
        <w:rPr>
          <w:rFonts w:ascii="Calibri" w:hAnsi="Calibri" w:cs="Calibri"/>
          <w:bCs/>
          <w:szCs w:val="22"/>
        </w:rPr>
      </w:pPr>
      <w:r w:rsidRPr="00BD026A">
        <w:rPr>
          <w:rFonts w:ascii="Calibri" w:hAnsi="Calibri" w:cs="Calibri"/>
          <w:bCs/>
          <w:szCs w:val="22"/>
        </w:rPr>
        <w:t>Where a student is</w:t>
      </w:r>
      <w:r w:rsidR="00C1642B">
        <w:rPr>
          <w:rFonts w:ascii="Calibri" w:hAnsi="Calibri" w:cs="Calibri"/>
          <w:bCs/>
          <w:szCs w:val="22"/>
        </w:rPr>
        <w:t xml:space="preserve"> eligible for </w:t>
      </w:r>
      <w:r w:rsidR="006D28DF">
        <w:rPr>
          <w:rFonts w:ascii="Calibri" w:hAnsi="Calibri" w:cs="Calibri"/>
          <w:bCs/>
          <w:szCs w:val="22"/>
        </w:rPr>
        <w:t>the 16-19 Programme F</w:t>
      </w:r>
      <w:r w:rsidR="00C1642B">
        <w:rPr>
          <w:rFonts w:ascii="Calibri" w:hAnsi="Calibri" w:cs="Calibri"/>
          <w:bCs/>
          <w:szCs w:val="22"/>
        </w:rPr>
        <w:t>unding from the E</w:t>
      </w:r>
      <w:r w:rsidR="006D28DF">
        <w:rPr>
          <w:rFonts w:ascii="Calibri" w:hAnsi="Calibri" w:cs="Calibri"/>
          <w:bCs/>
          <w:szCs w:val="22"/>
        </w:rPr>
        <w:t>S</w:t>
      </w:r>
      <w:r w:rsidRPr="00BD026A">
        <w:rPr>
          <w:rFonts w:ascii="Calibri" w:hAnsi="Calibri" w:cs="Calibri"/>
          <w:bCs/>
          <w:szCs w:val="22"/>
        </w:rPr>
        <w:t xml:space="preserve">FA or </w:t>
      </w:r>
      <w:r w:rsidR="00C1642B">
        <w:rPr>
          <w:rFonts w:ascii="Calibri" w:hAnsi="Calibri" w:cs="Calibri"/>
          <w:bCs/>
          <w:szCs w:val="22"/>
        </w:rPr>
        <w:t>through advanced learner loans</w:t>
      </w:r>
      <w:r w:rsidRPr="00BD026A">
        <w:rPr>
          <w:rFonts w:ascii="Calibri" w:hAnsi="Calibri" w:cs="Calibri"/>
          <w:bCs/>
          <w:szCs w:val="22"/>
        </w:rPr>
        <w:t xml:space="preserve"> for their tuition fees, then they will not be required to pay examination</w:t>
      </w:r>
      <w:r w:rsidR="00C365DF">
        <w:rPr>
          <w:rFonts w:ascii="Calibri" w:hAnsi="Calibri" w:cs="Calibri"/>
          <w:bCs/>
          <w:szCs w:val="22"/>
        </w:rPr>
        <w:t xml:space="preserve"> fees, material fees</w:t>
      </w:r>
      <w:r w:rsidRPr="00BD026A">
        <w:rPr>
          <w:rFonts w:ascii="Calibri" w:hAnsi="Calibri" w:cs="Calibri"/>
          <w:bCs/>
          <w:szCs w:val="22"/>
        </w:rPr>
        <w:t xml:space="preserve"> and </w:t>
      </w:r>
      <w:r w:rsidR="00BE4F94" w:rsidRPr="00BD026A">
        <w:rPr>
          <w:rFonts w:ascii="Calibri" w:hAnsi="Calibri" w:cs="Calibri"/>
          <w:bCs/>
          <w:szCs w:val="22"/>
        </w:rPr>
        <w:t>college</w:t>
      </w:r>
      <w:r w:rsidR="00B63C94" w:rsidRPr="00BD026A">
        <w:rPr>
          <w:rFonts w:ascii="Calibri" w:hAnsi="Calibri" w:cs="Calibri"/>
          <w:bCs/>
          <w:szCs w:val="22"/>
        </w:rPr>
        <w:t xml:space="preserve"> </w:t>
      </w:r>
      <w:r w:rsidRPr="00BD026A">
        <w:rPr>
          <w:rFonts w:ascii="Calibri" w:hAnsi="Calibri" w:cs="Calibri"/>
          <w:bCs/>
          <w:szCs w:val="22"/>
        </w:rPr>
        <w:t>registration fees</w:t>
      </w:r>
      <w:r w:rsidR="00BE4F94" w:rsidRPr="00BD026A">
        <w:rPr>
          <w:rFonts w:ascii="Calibri" w:hAnsi="Calibri" w:cs="Calibri"/>
          <w:bCs/>
          <w:szCs w:val="22"/>
        </w:rPr>
        <w:t>;</w:t>
      </w:r>
      <w:r w:rsidRPr="00BD026A">
        <w:rPr>
          <w:rFonts w:ascii="Calibri" w:hAnsi="Calibri" w:cs="Calibri"/>
          <w:bCs/>
          <w:szCs w:val="22"/>
        </w:rPr>
        <w:t xml:space="preserve"> these costs</w:t>
      </w:r>
      <w:r w:rsidR="00C1642B">
        <w:rPr>
          <w:rFonts w:ascii="Calibri" w:hAnsi="Calibri" w:cs="Calibri"/>
          <w:bCs/>
          <w:szCs w:val="22"/>
        </w:rPr>
        <w:t xml:space="preserve"> being included within the </w:t>
      </w:r>
      <w:r w:rsidRPr="00BD026A">
        <w:rPr>
          <w:rFonts w:ascii="Calibri" w:hAnsi="Calibri" w:cs="Calibri"/>
          <w:bCs/>
          <w:szCs w:val="22"/>
        </w:rPr>
        <w:t>E</w:t>
      </w:r>
      <w:r w:rsidR="006D28DF">
        <w:rPr>
          <w:rFonts w:ascii="Calibri" w:hAnsi="Calibri" w:cs="Calibri"/>
          <w:bCs/>
          <w:szCs w:val="22"/>
        </w:rPr>
        <w:t>S</w:t>
      </w:r>
      <w:r w:rsidRPr="00BD026A">
        <w:rPr>
          <w:rFonts w:ascii="Calibri" w:hAnsi="Calibri" w:cs="Calibri"/>
          <w:bCs/>
          <w:szCs w:val="22"/>
        </w:rPr>
        <w:t xml:space="preserve">FA </w:t>
      </w:r>
      <w:r w:rsidR="00C1642B">
        <w:rPr>
          <w:rFonts w:ascii="Calibri" w:hAnsi="Calibri" w:cs="Calibri"/>
          <w:bCs/>
          <w:szCs w:val="22"/>
        </w:rPr>
        <w:t xml:space="preserve">/ advanced learner loans </w:t>
      </w:r>
      <w:r w:rsidRPr="00BD026A">
        <w:rPr>
          <w:rFonts w:ascii="Calibri" w:hAnsi="Calibri" w:cs="Calibri"/>
          <w:bCs/>
          <w:szCs w:val="22"/>
        </w:rPr>
        <w:t>funding. Exam fees may be charged where the student is resitting an exam which has previously been taken and failed, or the exam is being retaken with the intention of improving their grade. The decision to charge these fees will be undertaken by the Finance Director (or his duly authorised representative), while taking into account medical and other potential mitigating circumstances.</w:t>
      </w:r>
    </w:p>
    <w:p w14:paraId="50FEE9F3" w14:textId="77777777" w:rsidR="00862AE1" w:rsidRPr="00BD026A" w:rsidRDefault="00862AE1" w:rsidP="00E12EF5">
      <w:pPr>
        <w:jc w:val="both"/>
        <w:rPr>
          <w:rFonts w:ascii="Calibri" w:hAnsi="Calibri" w:cs="Calibri"/>
          <w:bCs/>
          <w:szCs w:val="22"/>
        </w:rPr>
      </w:pPr>
    </w:p>
    <w:p w14:paraId="086B33F3" w14:textId="3E6D0B51" w:rsidR="00455ECB" w:rsidRDefault="00862AE1" w:rsidP="00E12EF5">
      <w:pPr>
        <w:jc w:val="both"/>
        <w:rPr>
          <w:rFonts w:ascii="Calibri" w:hAnsi="Calibri" w:cs="Calibri"/>
          <w:b/>
          <w:bCs/>
          <w:szCs w:val="22"/>
        </w:rPr>
      </w:pPr>
      <w:r w:rsidRPr="00BD026A">
        <w:rPr>
          <w:rFonts w:ascii="Calibri" w:hAnsi="Calibri" w:cs="Calibri"/>
          <w:bCs/>
          <w:szCs w:val="22"/>
        </w:rPr>
        <w:t xml:space="preserve">If a student is not eligible for </w:t>
      </w:r>
      <w:r w:rsidR="006D28DF">
        <w:rPr>
          <w:rFonts w:ascii="Calibri" w:hAnsi="Calibri" w:cs="Calibri"/>
          <w:bCs/>
          <w:szCs w:val="22"/>
        </w:rPr>
        <w:t>E</w:t>
      </w:r>
      <w:r w:rsidRPr="00BD026A">
        <w:rPr>
          <w:rFonts w:ascii="Calibri" w:hAnsi="Calibri" w:cs="Calibri"/>
          <w:bCs/>
          <w:szCs w:val="22"/>
        </w:rPr>
        <w:t>SFA funding</w:t>
      </w:r>
      <w:r w:rsidR="00C1642B">
        <w:rPr>
          <w:rFonts w:ascii="Calibri" w:hAnsi="Calibri" w:cs="Calibri"/>
          <w:bCs/>
          <w:szCs w:val="22"/>
        </w:rPr>
        <w:t xml:space="preserve"> (apart from those on advanced learner loans)</w:t>
      </w:r>
      <w:r w:rsidRPr="00BD026A">
        <w:rPr>
          <w:rFonts w:ascii="Calibri" w:hAnsi="Calibri" w:cs="Calibri"/>
          <w:bCs/>
          <w:szCs w:val="22"/>
        </w:rPr>
        <w:t xml:space="preserve">, then in addition to the tuition fees they will also be liable for examination and registration fees. The amount of these will be set with reference to </w:t>
      </w:r>
      <w:r w:rsidR="000D443E" w:rsidRPr="00BD026A">
        <w:rPr>
          <w:rFonts w:ascii="Calibri" w:hAnsi="Calibri" w:cs="Calibri"/>
          <w:bCs/>
          <w:szCs w:val="22"/>
        </w:rPr>
        <w:t xml:space="preserve">the charges made to the College by </w:t>
      </w:r>
      <w:r w:rsidRPr="00BD026A">
        <w:rPr>
          <w:rFonts w:ascii="Calibri" w:hAnsi="Calibri" w:cs="Calibri"/>
          <w:bCs/>
          <w:szCs w:val="22"/>
        </w:rPr>
        <w:t>the relevant examining body.</w:t>
      </w:r>
    </w:p>
    <w:p w14:paraId="4366021F" w14:textId="77777777" w:rsidR="00455ECB" w:rsidRDefault="00455ECB" w:rsidP="00E12EF5">
      <w:pPr>
        <w:jc w:val="both"/>
        <w:rPr>
          <w:rFonts w:ascii="Calibri" w:hAnsi="Calibri" w:cs="Calibri"/>
          <w:b/>
          <w:bCs/>
          <w:szCs w:val="22"/>
        </w:rPr>
      </w:pPr>
    </w:p>
    <w:p w14:paraId="50FEE9F5" w14:textId="0C6CC248" w:rsidR="00862AE1" w:rsidRPr="00455ECB" w:rsidRDefault="00862AE1" w:rsidP="00E12EF5">
      <w:pPr>
        <w:jc w:val="both"/>
        <w:rPr>
          <w:rFonts w:ascii="Calibri" w:hAnsi="Calibri" w:cs="Calibri"/>
          <w:bCs/>
          <w:szCs w:val="22"/>
        </w:rPr>
      </w:pPr>
      <w:r w:rsidRPr="00BD7B14">
        <w:rPr>
          <w:rFonts w:ascii="Calibri" w:hAnsi="Calibri" w:cs="Calibri"/>
          <w:b/>
          <w:bCs/>
          <w:color w:val="31849B"/>
          <w:sz w:val="28"/>
          <w:szCs w:val="22"/>
        </w:rPr>
        <w:t>Materials Fees</w:t>
      </w:r>
    </w:p>
    <w:p w14:paraId="50FEE9F6" w14:textId="77777777" w:rsidR="00862AE1" w:rsidRPr="00BD026A" w:rsidRDefault="00862AE1" w:rsidP="00E12EF5">
      <w:pPr>
        <w:jc w:val="both"/>
        <w:rPr>
          <w:rFonts w:ascii="Calibri" w:hAnsi="Calibri" w:cs="Calibri"/>
          <w:bCs/>
          <w:szCs w:val="22"/>
        </w:rPr>
      </w:pPr>
    </w:p>
    <w:p w14:paraId="50FEE9F7" w14:textId="19E1D923" w:rsidR="00862AE1" w:rsidRPr="00BD026A" w:rsidRDefault="000D443E" w:rsidP="00E12EF5">
      <w:pPr>
        <w:jc w:val="both"/>
        <w:rPr>
          <w:rFonts w:ascii="Calibri" w:hAnsi="Calibri" w:cs="Calibri"/>
          <w:bCs/>
          <w:szCs w:val="22"/>
        </w:rPr>
      </w:pPr>
      <w:r w:rsidRPr="00BD026A">
        <w:rPr>
          <w:rFonts w:ascii="Calibri" w:hAnsi="Calibri" w:cs="Calibri"/>
          <w:bCs/>
          <w:szCs w:val="22"/>
        </w:rPr>
        <w:t>Materials fees are only charged in accordance with the funding rules of the E</w:t>
      </w:r>
      <w:r w:rsidR="006D28DF">
        <w:rPr>
          <w:rFonts w:ascii="Calibri" w:hAnsi="Calibri" w:cs="Calibri"/>
          <w:bCs/>
          <w:szCs w:val="22"/>
        </w:rPr>
        <w:t>S</w:t>
      </w:r>
      <w:r w:rsidRPr="00BD026A">
        <w:rPr>
          <w:rFonts w:ascii="Calibri" w:hAnsi="Calibri" w:cs="Calibri"/>
          <w:bCs/>
          <w:szCs w:val="22"/>
        </w:rPr>
        <w:t xml:space="preserve">FA. </w:t>
      </w:r>
      <w:r w:rsidR="00862AE1" w:rsidRPr="00BD026A">
        <w:rPr>
          <w:rFonts w:ascii="Calibri" w:hAnsi="Calibri" w:cs="Calibri"/>
          <w:bCs/>
          <w:szCs w:val="22"/>
        </w:rPr>
        <w:t xml:space="preserve">Materials fees can </w:t>
      </w:r>
      <w:r w:rsidRPr="00BD026A">
        <w:rPr>
          <w:rFonts w:ascii="Calibri" w:hAnsi="Calibri" w:cs="Calibri"/>
          <w:bCs/>
          <w:szCs w:val="22"/>
        </w:rPr>
        <w:t>be charged for</w:t>
      </w:r>
      <w:r w:rsidR="00862AE1" w:rsidRPr="00BD026A">
        <w:rPr>
          <w:rFonts w:ascii="Calibri" w:hAnsi="Calibri" w:cs="Calibri"/>
          <w:bCs/>
          <w:szCs w:val="22"/>
        </w:rPr>
        <w:t xml:space="preserve"> clothing, equipment or consumables which are either </w:t>
      </w:r>
      <w:r w:rsidR="00C6089E" w:rsidRPr="00BD026A">
        <w:rPr>
          <w:rFonts w:ascii="Calibri" w:hAnsi="Calibri" w:cs="Calibri"/>
          <w:bCs/>
          <w:szCs w:val="22"/>
        </w:rPr>
        <w:t>necessary for health and safety or items which students can take away from the learning environment.</w:t>
      </w:r>
    </w:p>
    <w:p w14:paraId="50FEE9F8" w14:textId="77777777" w:rsidR="00C6089E" w:rsidRPr="00BD026A" w:rsidRDefault="00C6089E" w:rsidP="00E12EF5">
      <w:pPr>
        <w:jc w:val="both"/>
        <w:rPr>
          <w:rFonts w:ascii="Calibri" w:hAnsi="Calibri" w:cs="Calibri"/>
          <w:bCs/>
          <w:szCs w:val="22"/>
        </w:rPr>
      </w:pPr>
    </w:p>
    <w:p w14:paraId="50FEE9F9" w14:textId="77777777" w:rsidR="00C6089E" w:rsidRDefault="000D443E" w:rsidP="00E12EF5">
      <w:pPr>
        <w:jc w:val="both"/>
        <w:rPr>
          <w:rFonts w:ascii="Calibri" w:hAnsi="Calibri" w:cs="Calibri"/>
          <w:bCs/>
          <w:szCs w:val="22"/>
        </w:rPr>
      </w:pPr>
      <w:r w:rsidRPr="00BD026A">
        <w:rPr>
          <w:rFonts w:ascii="Calibri" w:hAnsi="Calibri" w:cs="Calibri"/>
          <w:bCs/>
          <w:szCs w:val="22"/>
        </w:rPr>
        <w:t>In addition, t</w:t>
      </w:r>
      <w:r w:rsidR="00C6089E" w:rsidRPr="00BD026A">
        <w:rPr>
          <w:rFonts w:ascii="Calibri" w:hAnsi="Calibri" w:cs="Calibri"/>
          <w:bCs/>
          <w:szCs w:val="22"/>
        </w:rPr>
        <w:t>he College may require any student who is over 19 years of age at the date of enrolment onto their course and who is required to pay tuition fees:</w:t>
      </w:r>
    </w:p>
    <w:p w14:paraId="50FEE9FA" w14:textId="77777777" w:rsidR="00463573" w:rsidRPr="00BD026A" w:rsidRDefault="00463573" w:rsidP="00E12EF5">
      <w:pPr>
        <w:jc w:val="both"/>
        <w:rPr>
          <w:rFonts w:ascii="Calibri" w:hAnsi="Calibri" w:cs="Calibri"/>
          <w:bCs/>
          <w:szCs w:val="22"/>
        </w:rPr>
      </w:pPr>
    </w:p>
    <w:p w14:paraId="50FEE9FB" w14:textId="77777777" w:rsidR="00C6089E" w:rsidRPr="00BD026A" w:rsidRDefault="00C6089E" w:rsidP="00463573">
      <w:pPr>
        <w:numPr>
          <w:ilvl w:val="0"/>
          <w:numId w:val="3"/>
        </w:numPr>
        <w:spacing w:after="120"/>
        <w:ind w:left="714" w:hanging="357"/>
        <w:jc w:val="both"/>
        <w:rPr>
          <w:rFonts w:ascii="Calibri" w:hAnsi="Calibri" w:cs="Calibri"/>
          <w:bCs/>
          <w:szCs w:val="22"/>
        </w:rPr>
      </w:pPr>
      <w:r w:rsidRPr="00BD026A">
        <w:rPr>
          <w:rFonts w:ascii="Calibri" w:hAnsi="Calibri" w:cs="Calibri"/>
          <w:bCs/>
          <w:szCs w:val="22"/>
        </w:rPr>
        <w:t>To contribute towards the cost of materials for the course onto which they have enrolled</w:t>
      </w:r>
    </w:p>
    <w:p w14:paraId="50FEE9FC" w14:textId="77777777" w:rsidR="00C6089E" w:rsidRPr="00BD026A" w:rsidRDefault="00C6089E" w:rsidP="00463573">
      <w:pPr>
        <w:numPr>
          <w:ilvl w:val="0"/>
          <w:numId w:val="3"/>
        </w:numPr>
        <w:spacing w:after="120"/>
        <w:ind w:left="714" w:hanging="357"/>
        <w:jc w:val="both"/>
        <w:rPr>
          <w:rFonts w:ascii="Calibri" w:hAnsi="Calibri" w:cs="Calibri"/>
          <w:bCs/>
          <w:szCs w:val="22"/>
        </w:rPr>
      </w:pPr>
      <w:r w:rsidRPr="00BD026A">
        <w:rPr>
          <w:rFonts w:ascii="Calibri" w:hAnsi="Calibri" w:cs="Calibri"/>
          <w:bCs/>
          <w:szCs w:val="22"/>
        </w:rPr>
        <w:t>To purc</w:t>
      </w:r>
      <w:r w:rsidR="00B63C94" w:rsidRPr="00BD026A">
        <w:rPr>
          <w:rFonts w:ascii="Calibri" w:hAnsi="Calibri" w:cs="Calibri"/>
          <w:bCs/>
          <w:szCs w:val="22"/>
        </w:rPr>
        <w:t>hase uniform or equipment as pre</w:t>
      </w:r>
      <w:r w:rsidRPr="00BD026A">
        <w:rPr>
          <w:rFonts w:ascii="Calibri" w:hAnsi="Calibri" w:cs="Calibri"/>
          <w:bCs/>
          <w:szCs w:val="22"/>
        </w:rPr>
        <w:t>scribed by the College prior to enrolment.</w:t>
      </w:r>
    </w:p>
    <w:p w14:paraId="50FEE9FD" w14:textId="77777777" w:rsidR="00C6089E" w:rsidRPr="00BD026A" w:rsidRDefault="00C6089E" w:rsidP="00E12EF5">
      <w:pPr>
        <w:jc w:val="both"/>
        <w:rPr>
          <w:rFonts w:ascii="Calibri" w:hAnsi="Calibri" w:cs="Calibri"/>
          <w:bCs/>
          <w:szCs w:val="22"/>
        </w:rPr>
      </w:pPr>
    </w:p>
    <w:p w14:paraId="50FEEA03" w14:textId="1A638619" w:rsidR="00B63C94" w:rsidRDefault="006D28DF" w:rsidP="003D5DE4">
      <w:pPr>
        <w:jc w:val="both"/>
        <w:rPr>
          <w:rFonts w:ascii="Calibri" w:hAnsi="Calibri" w:cs="Calibri"/>
          <w:bCs/>
          <w:szCs w:val="22"/>
        </w:rPr>
      </w:pPr>
      <w:r>
        <w:rPr>
          <w:rFonts w:ascii="Calibri" w:hAnsi="Calibri" w:cs="Calibri"/>
          <w:bCs/>
          <w:szCs w:val="22"/>
        </w:rPr>
        <w:t>For s</w:t>
      </w:r>
      <w:r w:rsidR="00C6089E" w:rsidRPr="00BD026A">
        <w:rPr>
          <w:rFonts w:ascii="Calibri" w:hAnsi="Calibri" w:cs="Calibri"/>
          <w:bCs/>
          <w:szCs w:val="22"/>
        </w:rPr>
        <w:t xml:space="preserve">tudents who are either under 19 years of age, or who are over 19 years of age but enrolled onto further education provision which is fully funded by the </w:t>
      </w:r>
      <w:r w:rsidR="00492035">
        <w:rPr>
          <w:rFonts w:ascii="Calibri" w:hAnsi="Calibri" w:cs="Calibri"/>
          <w:bCs/>
          <w:szCs w:val="22"/>
        </w:rPr>
        <w:t xml:space="preserve">Education and </w:t>
      </w:r>
      <w:r w:rsidR="00C6089E" w:rsidRPr="00BD026A">
        <w:rPr>
          <w:rFonts w:ascii="Calibri" w:hAnsi="Calibri" w:cs="Calibri"/>
          <w:bCs/>
          <w:szCs w:val="22"/>
        </w:rPr>
        <w:t>Skills Funding Agency</w:t>
      </w:r>
      <w:r w:rsidR="009A0D38">
        <w:rPr>
          <w:rFonts w:ascii="Calibri" w:hAnsi="Calibri" w:cs="Calibri"/>
          <w:bCs/>
          <w:szCs w:val="22"/>
        </w:rPr>
        <w:t>,</w:t>
      </w:r>
      <w:r w:rsidR="003D5DE4">
        <w:rPr>
          <w:rFonts w:ascii="Calibri" w:hAnsi="Calibri" w:cs="Calibri"/>
          <w:bCs/>
          <w:szCs w:val="22"/>
        </w:rPr>
        <w:t xml:space="preserve"> </w:t>
      </w:r>
      <w:r w:rsidR="00C365DF">
        <w:rPr>
          <w:rFonts w:ascii="Calibri" w:hAnsi="Calibri" w:cs="Calibri"/>
          <w:bCs/>
          <w:szCs w:val="22"/>
        </w:rPr>
        <w:t>Bursary</w:t>
      </w:r>
      <w:r w:rsidR="00C6089E" w:rsidRPr="00BD026A">
        <w:rPr>
          <w:rFonts w:ascii="Calibri" w:hAnsi="Calibri" w:cs="Calibri"/>
          <w:bCs/>
          <w:szCs w:val="22"/>
        </w:rPr>
        <w:t xml:space="preserve"> will be made available where possible to support students who are assessed to be in financial hardship.</w:t>
      </w:r>
    </w:p>
    <w:p w14:paraId="19BC8986" w14:textId="77777777" w:rsidR="003D5DE4" w:rsidRPr="00BD026A" w:rsidRDefault="003D5DE4" w:rsidP="003D5DE4">
      <w:pPr>
        <w:jc w:val="both"/>
        <w:rPr>
          <w:rFonts w:ascii="Calibri" w:hAnsi="Calibri" w:cs="Calibri"/>
          <w:bCs/>
          <w:szCs w:val="22"/>
        </w:rPr>
      </w:pPr>
    </w:p>
    <w:p w14:paraId="50FEEA06" w14:textId="56D41EC7" w:rsidR="00C6089E" w:rsidRDefault="00C6089E" w:rsidP="00E12EF5">
      <w:pPr>
        <w:jc w:val="both"/>
        <w:rPr>
          <w:rFonts w:ascii="Calibri" w:hAnsi="Calibri" w:cs="Calibri"/>
          <w:bCs/>
          <w:szCs w:val="22"/>
        </w:rPr>
      </w:pPr>
      <w:r w:rsidRPr="00BD026A">
        <w:rPr>
          <w:rFonts w:ascii="Calibri" w:hAnsi="Calibri" w:cs="Calibri"/>
          <w:bCs/>
          <w:szCs w:val="22"/>
        </w:rPr>
        <w:t>Every effort will be made to ensure that the charge to the student matches the cost to the College of purchasing the materials</w:t>
      </w:r>
      <w:r w:rsidR="003A1A65" w:rsidRPr="00BD026A">
        <w:rPr>
          <w:rFonts w:ascii="Calibri" w:hAnsi="Calibri" w:cs="Calibri"/>
          <w:bCs/>
          <w:szCs w:val="22"/>
        </w:rPr>
        <w:t>, uniform</w:t>
      </w:r>
      <w:r w:rsidRPr="00BD026A">
        <w:rPr>
          <w:rFonts w:ascii="Calibri" w:hAnsi="Calibri" w:cs="Calibri"/>
          <w:bCs/>
          <w:szCs w:val="22"/>
        </w:rPr>
        <w:t xml:space="preserve"> a</w:t>
      </w:r>
      <w:r w:rsidR="003A1A65" w:rsidRPr="00BD026A">
        <w:rPr>
          <w:rFonts w:ascii="Calibri" w:hAnsi="Calibri" w:cs="Calibri"/>
          <w:bCs/>
          <w:szCs w:val="22"/>
        </w:rPr>
        <w:t xml:space="preserve">nd equipment, and that the amounts payable will be </w:t>
      </w:r>
      <w:r w:rsidR="00E17E73" w:rsidRPr="00BD026A">
        <w:rPr>
          <w:rFonts w:ascii="Calibri" w:hAnsi="Calibri" w:cs="Calibri"/>
          <w:bCs/>
          <w:szCs w:val="22"/>
        </w:rPr>
        <w:t>advised</w:t>
      </w:r>
      <w:r w:rsidR="003A1A65" w:rsidRPr="00BD026A">
        <w:rPr>
          <w:rFonts w:ascii="Calibri" w:hAnsi="Calibri" w:cs="Calibri"/>
          <w:bCs/>
          <w:szCs w:val="22"/>
        </w:rPr>
        <w:t xml:space="preserve"> to students prior to, or at, enrolment.</w:t>
      </w:r>
    </w:p>
    <w:p w14:paraId="22AD9641" w14:textId="3CCB3F48" w:rsidR="00D7711A" w:rsidRDefault="00D7711A" w:rsidP="00E12EF5">
      <w:pPr>
        <w:jc w:val="both"/>
        <w:rPr>
          <w:rFonts w:ascii="Calibri" w:hAnsi="Calibri" w:cs="Calibri"/>
          <w:bCs/>
          <w:szCs w:val="22"/>
        </w:rPr>
      </w:pPr>
    </w:p>
    <w:p w14:paraId="5C478040" w14:textId="3B5C8D54" w:rsidR="00D7711A" w:rsidRPr="002577FA" w:rsidRDefault="00D7711A" w:rsidP="00E12EF5">
      <w:pPr>
        <w:jc w:val="both"/>
        <w:rPr>
          <w:rFonts w:ascii="Calibri" w:hAnsi="Calibri" w:cs="Calibri"/>
          <w:bCs/>
          <w:szCs w:val="22"/>
        </w:rPr>
      </w:pPr>
      <w:r w:rsidRPr="002577FA">
        <w:rPr>
          <w:rFonts w:ascii="Calibri" w:hAnsi="Calibri" w:cs="Calibri"/>
          <w:bCs/>
          <w:szCs w:val="22"/>
        </w:rPr>
        <w:t>All Higher Education Courses delivered by Oakl</w:t>
      </w:r>
      <w:r w:rsidR="00FF35A5" w:rsidRPr="002577FA">
        <w:rPr>
          <w:rFonts w:ascii="Calibri" w:hAnsi="Calibri" w:cs="Calibri"/>
          <w:bCs/>
          <w:szCs w:val="22"/>
        </w:rPr>
        <w:t>a</w:t>
      </w:r>
      <w:r w:rsidRPr="002577FA">
        <w:rPr>
          <w:rFonts w:ascii="Calibri" w:hAnsi="Calibri" w:cs="Calibri"/>
          <w:bCs/>
          <w:szCs w:val="22"/>
        </w:rPr>
        <w:t>nds College will state on the website under the relevant cour</w:t>
      </w:r>
      <w:r w:rsidR="00C26C2C">
        <w:rPr>
          <w:rFonts w:ascii="Calibri" w:hAnsi="Calibri" w:cs="Calibri"/>
          <w:bCs/>
          <w:szCs w:val="22"/>
        </w:rPr>
        <w:t>se fact sheet (see Course Addit</w:t>
      </w:r>
      <w:r w:rsidRPr="002577FA">
        <w:rPr>
          <w:rFonts w:ascii="Calibri" w:hAnsi="Calibri" w:cs="Calibri"/>
          <w:bCs/>
          <w:szCs w:val="22"/>
        </w:rPr>
        <w:t xml:space="preserve">ionality) if there are any additional costs </w:t>
      </w:r>
      <w:r w:rsidR="00061332" w:rsidRPr="002577FA">
        <w:rPr>
          <w:rFonts w:ascii="Calibri" w:hAnsi="Calibri" w:cs="Calibri"/>
          <w:bCs/>
          <w:szCs w:val="22"/>
        </w:rPr>
        <w:t xml:space="preserve">for materials or activities </w:t>
      </w:r>
      <w:r w:rsidRPr="002577FA">
        <w:rPr>
          <w:rFonts w:ascii="Calibri" w:hAnsi="Calibri" w:cs="Calibri"/>
          <w:bCs/>
          <w:szCs w:val="22"/>
        </w:rPr>
        <w:t xml:space="preserve">to the tuition fees for which the student is </w:t>
      </w:r>
      <w:r w:rsidR="00061332" w:rsidRPr="002577FA">
        <w:rPr>
          <w:rFonts w:ascii="Calibri" w:hAnsi="Calibri" w:cs="Calibri"/>
          <w:bCs/>
          <w:szCs w:val="22"/>
        </w:rPr>
        <w:t xml:space="preserve">directly </w:t>
      </w:r>
      <w:r w:rsidRPr="002577FA">
        <w:rPr>
          <w:rFonts w:ascii="Calibri" w:hAnsi="Calibri" w:cs="Calibri"/>
          <w:bCs/>
          <w:szCs w:val="22"/>
        </w:rPr>
        <w:t>liable to pay</w:t>
      </w:r>
      <w:r w:rsidR="00061332" w:rsidRPr="002577FA">
        <w:rPr>
          <w:rFonts w:ascii="Calibri" w:hAnsi="Calibri" w:cs="Calibri"/>
          <w:bCs/>
          <w:szCs w:val="22"/>
        </w:rPr>
        <w:t xml:space="preserve"> and whether these are mandatory or optional.</w:t>
      </w:r>
      <w:r w:rsidRPr="002577FA">
        <w:rPr>
          <w:rFonts w:ascii="Calibri" w:hAnsi="Calibri" w:cs="Calibri"/>
          <w:bCs/>
          <w:szCs w:val="22"/>
        </w:rPr>
        <w:t xml:space="preserve">  </w:t>
      </w:r>
    </w:p>
    <w:p w14:paraId="50FEEA07" w14:textId="77777777" w:rsidR="00862AE1" w:rsidRPr="00BD026A" w:rsidRDefault="00862AE1" w:rsidP="00E12EF5">
      <w:pPr>
        <w:jc w:val="both"/>
        <w:rPr>
          <w:rFonts w:ascii="Calibri" w:hAnsi="Calibri" w:cs="Calibri"/>
          <w:bCs/>
          <w:szCs w:val="22"/>
        </w:rPr>
      </w:pPr>
    </w:p>
    <w:p w14:paraId="50FEEA08" w14:textId="1E5C2E2C" w:rsidR="004A6FB9" w:rsidRPr="00BD7B14" w:rsidRDefault="003A1A65" w:rsidP="00E12EF5">
      <w:pPr>
        <w:jc w:val="both"/>
        <w:rPr>
          <w:rFonts w:ascii="Calibri" w:hAnsi="Calibri" w:cs="Calibri"/>
          <w:b/>
          <w:bCs/>
          <w:color w:val="31849B"/>
          <w:sz w:val="28"/>
          <w:szCs w:val="22"/>
        </w:rPr>
      </w:pPr>
      <w:r w:rsidRPr="00BD7B14">
        <w:rPr>
          <w:rFonts w:ascii="Calibri" w:hAnsi="Calibri" w:cs="Calibri"/>
          <w:b/>
          <w:bCs/>
          <w:color w:val="31849B"/>
          <w:sz w:val="28"/>
          <w:szCs w:val="22"/>
        </w:rPr>
        <w:t>Trips Fees</w:t>
      </w:r>
    </w:p>
    <w:p w14:paraId="50FEEA09" w14:textId="77777777" w:rsidR="003A1A65" w:rsidRPr="00BD026A" w:rsidRDefault="003A1A65" w:rsidP="00E12EF5">
      <w:pPr>
        <w:jc w:val="both"/>
        <w:rPr>
          <w:rFonts w:ascii="Calibri" w:hAnsi="Calibri" w:cs="Calibri"/>
          <w:bCs/>
          <w:szCs w:val="22"/>
        </w:rPr>
      </w:pPr>
    </w:p>
    <w:p w14:paraId="50FEEA0A" w14:textId="77777777" w:rsidR="004A6FB9" w:rsidRDefault="003A1A65" w:rsidP="00E12EF5">
      <w:pPr>
        <w:jc w:val="both"/>
        <w:rPr>
          <w:rFonts w:ascii="Calibri" w:hAnsi="Calibri" w:cs="Calibri"/>
          <w:bCs/>
          <w:szCs w:val="22"/>
        </w:rPr>
      </w:pPr>
      <w:r w:rsidRPr="00BD026A">
        <w:rPr>
          <w:rFonts w:ascii="Calibri" w:hAnsi="Calibri" w:cs="Calibri"/>
          <w:bCs/>
          <w:szCs w:val="22"/>
        </w:rPr>
        <w:t>The College reserves the right to charge students in full for the cost of a trip or other visit or event</w:t>
      </w:r>
      <w:r w:rsidR="00664230" w:rsidRPr="00BD026A">
        <w:rPr>
          <w:rFonts w:ascii="Calibri" w:hAnsi="Calibri" w:cs="Calibri"/>
          <w:bCs/>
          <w:szCs w:val="22"/>
        </w:rPr>
        <w:t>.</w:t>
      </w:r>
      <w:r w:rsidRPr="00BD026A">
        <w:rPr>
          <w:rFonts w:ascii="Calibri" w:hAnsi="Calibri" w:cs="Calibri"/>
          <w:bCs/>
          <w:szCs w:val="22"/>
        </w:rPr>
        <w:t xml:space="preserve"> </w:t>
      </w:r>
    </w:p>
    <w:p w14:paraId="50FEEA0B" w14:textId="77777777" w:rsidR="00375BA3" w:rsidRPr="00BD026A" w:rsidRDefault="00375BA3" w:rsidP="00E12EF5">
      <w:pPr>
        <w:jc w:val="both"/>
        <w:rPr>
          <w:rFonts w:ascii="Calibri" w:hAnsi="Calibri" w:cs="Calibri"/>
          <w:bCs/>
          <w:szCs w:val="22"/>
        </w:rPr>
      </w:pPr>
    </w:p>
    <w:p w14:paraId="50FEEA0C" w14:textId="77777777" w:rsidR="003A1A65" w:rsidRPr="00BD026A" w:rsidRDefault="003A1A65" w:rsidP="00E12EF5">
      <w:pPr>
        <w:jc w:val="both"/>
        <w:rPr>
          <w:rFonts w:ascii="Calibri" w:hAnsi="Calibri" w:cs="Calibri"/>
          <w:bCs/>
          <w:szCs w:val="22"/>
        </w:rPr>
      </w:pPr>
      <w:r w:rsidRPr="00BD026A">
        <w:rPr>
          <w:rFonts w:ascii="Calibri" w:hAnsi="Calibri" w:cs="Calibri"/>
          <w:bCs/>
          <w:szCs w:val="22"/>
        </w:rPr>
        <w:t xml:space="preserve">Every effort will be made to ensure that the charge to the student matches the cost to the College of the trip / visit / event, and that the </w:t>
      </w:r>
      <w:r w:rsidR="00E17E73" w:rsidRPr="00BD026A">
        <w:rPr>
          <w:rFonts w:ascii="Calibri" w:hAnsi="Calibri" w:cs="Calibri"/>
          <w:bCs/>
          <w:szCs w:val="22"/>
        </w:rPr>
        <w:t xml:space="preserve">approximate </w:t>
      </w:r>
      <w:r w:rsidRPr="00BD026A">
        <w:rPr>
          <w:rFonts w:ascii="Calibri" w:hAnsi="Calibri" w:cs="Calibri"/>
          <w:bCs/>
          <w:szCs w:val="22"/>
        </w:rPr>
        <w:t xml:space="preserve">amount payable will be </w:t>
      </w:r>
      <w:r w:rsidR="00E17E73" w:rsidRPr="00BD026A">
        <w:rPr>
          <w:rFonts w:ascii="Calibri" w:hAnsi="Calibri" w:cs="Calibri"/>
          <w:bCs/>
          <w:szCs w:val="22"/>
        </w:rPr>
        <w:t>advised</w:t>
      </w:r>
      <w:r w:rsidRPr="00BD026A">
        <w:rPr>
          <w:rFonts w:ascii="Calibri" w:hAnsi="Calibri" w:cs="Calibri"/>
          <w:bCs/>
          <w:szCs w:val="22"/>
        </w:rPr>
        <w:t xml:space="preserve"> to students prior to, or at, enrolment.</w:t>
      </w:r>
    </w:p>
    <w:p w14:paraId="50FEEA0D" w14:textId="77777777" w:rsidR="00664230" w:rsidRPr="00BD026A" w:rsidRDefault="00664230" w:rsidP="00E12EF5">
      <w:pPr>
        <w:jc w:val="both"/>
        <w:rPr>
          <w:rFonts w:ascii="Calibri" w:hAnsi="Calibri" w:cs="Calibri"/>
          <w:bCs/>
          <w:szCs w:val="22"/>
        </w:rPr>
      </w:pPr>
    </w:p>
    <w:p w14:paraId="50FEEA0E" w14:textId="1F4C34C9" w:rsidR="00664230" w:rsidRPr="00BD026A" w:rsidRDefault="00664230" w:rsidP="00E12EF5">
      <w:pPr>
        <w:jc w:val="both"/>
        <w:rPr>
          <w:rFonts w:ascii="Calibri" w:hAnsi="Calibri" w:cs="Calibri"/>
          <w:bCs/>
          <w:szCs w:val="22"/>
        </w:rPr>
      </w:pPr>
      <w:r w:rsidRPr="00BD026A">
        <w:rPr>
          <w:rFonts w:ascii="Calibri" w:hAnsi="Calibri" w:cs="Calibri"/>
          <w:bCs/>
          <w:szCs w:val="22"/>
        </w:rPr>
        <w:t>For fully funded students who are aged 19 and above</w:t>
      </w:r>
      <w:r w:rsidR="003D5DE4">
        <w:rPr>
          <w:rFonts w:ascii="Calibri" w:hAnsi="Calibri" w:cs="Calibri"/>
          <w:bCs/>
          <w:szCs w:val="22"/>
        </w:rPr>
        <w:t xml:space="preserve"> and not on an </w:t>
      </w:r>
      <w:r w:rsidR="009A0D38">
        <w:rPr>
          <w:rFonts w:ascii="Calibri" w:hAnsi="Calibri" w:cs="Calibri"/>
          <w:bCs/>
          <w:szCs w:val="22"/>
        </w:rPr>
        <w:t>Advanced Learning Loan</w:t>
      </w:r>
      <w:r w:rsidRPr="00BD026A">
        <w:rPr>
          <w:rFonts w:ascii="Calibri" w:hAnsi="Calibri" w:cs="Calibri"/>
          <w:bCs/>
          <w:szCs w:val="22"/>
        </w:rPr>
        <w:t>, charges will only be rendered for trips where the Principal, Deputy Principal or relevant Director of</w:t>
      </w:r>
      <w:r w:rsidR="00095955">
        <w:rPr>
          <w:rFonts w:ascii="Calibri" w:hAnsi="Calibri" w:cs="Calibri"/>
          <w:bCs/>
          <w:szCs w:val="22"/>
        </w:rPr>
        <w:t xml:space="preserve"> Curriculum</w:t>
      </w:r>
      <w:r w:rsidRPr="00BD026A">
        <w:rPr>
          <w:rFonts w:ascii="Calibri" w:hAnsi="Calibri" w:cs="Calibri"/>
          <w:bCs/>
          <w:szCs w:val="22"/>
        </w:rPr>
        <w:t xml:space="preserve"> considers that attendance on that trip / visit / event is not essential to obt</w:t>
      </w:r>
      <w:r w:rsidR="003D5DE4">
        <w:rPr>
          <w:rFonts w:ascii="Calibri" w:hAnsi="Calibri" w:cs="Calibri"/>
          <w:bCs/>
          <w:szCs w:val="22"/>
        </w:rPr>
        <w:t>ain the relevant qualification.</w:t>
      </w:r>
    </w:p>
    <w:p w14:paraId="50FEEA0F" w14:textId="77777777" w:rsidR="003A1A65" w:rsidRPr="00BD026A" w:rsidRDefault="003A1A65" w:rsidP="00E12EF5">
      <w:pPr>
        <w:jc w:val="both"/>
        <w:rPr>
          <w:rFonts w:ascii="Calibri" w:hAnsi="Calibri" w:cs="Calibri"/>
          <w:bCs/>
          <w:szCs w:val="22"/>
        </w:rPr>
      </w:pPr>
    </w:p>
    <w:p w14:paraId="50FEEA10" w14:textId="77777777" w:rsidR="00664230" w:rsidRPr="00BD026A" w:rsidRDefault="00664230" w:rsidP="00E12EF5">
      <w:pPr>
        <w:jc w:val="both"/>
        <w:rPr>
          <w:rFonts w:ascii="Calibri" w:hAnsi="Calibri" w:cs="Calibri"/>
          <w:bCs/>
          <w:szCs w:val="22"/>
        </w:rPr>
      </w:pPr>
    </w:p>
    <w:p w14:paraId="50FEEA11" w14:textId="77777777" w:rsidR="00375BA3" w:rsidRPr="00375BA3" w:rsidRDefault="00375BA3" w:rsidP="00375BA3">
      <w:pPr>
        <w:rPr>
          <w:rFonts w:ascii="Calibri" w:hAnsi="Calibri" w:cs="Calibri"/>
          <w:b/>
          <w:color w:val="31849B"/>
          <w:sz w:val="32"/>
          <w:szCs w:val="22"/>
        </w:rPr>
      </w:pPr>
      <w:r>
        <w:rPr>
          <w:rFonts w:ascii="Calibri" w:hAnsi="Calibri" w:cs="Calibri"/>
          <w:szCs w:val="22"/>
        </w:rPr>
        <w:br w:type="page"/>
      </w:r>
      <w:r>
        <w:rPr>
          <w:rFonts w:ascii="Calibri" w:hAnsi="Calibri" w:cs="Calibri"/>
          <w:b/>
          <w:color w:val="31849B"/>
          <w:sz w:val="32"/>
          <w:szCs w:val="22"/>
        </w:rPr>
        <w:t>STUDENT</w:t>
      </w:r>
      <w:r w:rsidRPr="00375BA3">
        <w:rPr>
          <w:rFonts w:ascii="Calibri" w:hAnsi="Calibri" w:cs="Calibri"/>
          <w:b/>
          <w:color w:val="31849B"/>
          <w:sz w:val="32"/>
          <w:szCs w:val="22"/>
        </w:rPr>
        <w:t xml:space="preserve"> FEE</w:t>
      </w:r>
      <w:r>
        <w:rPr>
          <w:rFonts w:ascii="Calibri" w:hAnsi="Calibri" w:cs="Calibri"/>
          <w:b/>
          <w:color w:val="31849B"/>
          <w:sz w:val="32"/>
          <w:szCs w:val="22"/>
        </w:rPr>
        <w:t>S</w:t>
      </w:r>
      <w:r w:rsidRPr="00375BA3">
        <w:rPr>
          <w:rFonts w:ascii="Calibri" w:hAnsi="Calibri" w:cs="Calibri"/>
          <w:b/>
          <w:color w:val="31849B"/>
          <w:sz w:val="32"/>
          <w:szCs w:val="22"/>
        </w:rPr>
        <w:t xml:space="preserve"> PROCEDURES</w:t>
      </w:r>
    </w:p>
    <w:p w14:paraId="50FEEA12" w14:textId="77777777" w:rsidR="00375BA3" w:rsidRPr="00375BA3" w:rsidRDefault="00375BA3" w:rsidP="00375BA3">
      <w:pPr>
        <w:rPr>
          <w:rFonts w:ascii="Calibri" w:hAnsi="Calibri" w:cs="Calibri"/>
          <w:szCs w:val="22"/>
        </w:rPr>
      </w:pPr>
    </w:p>
    <w:p w14:paraId="50FEEA14" w14:textId="77777777" w:rsidR="00375BA3" w:rsidRPr="00375BA3" w:rsidRDefault="00375BA3" w:rsidP="00375BA3">
      <w:pPr>
        <w:tabs>
          <w:tab w:val="right" w:pos="9639"/>
        </w:tabs>
        <w:jc w:val="both"/>
        <w:rPr>
          <w:rFonts w:ascii="Calibri" w:hAnsi="Calibri" w:cs="Calibri"/>
          <w:szCs w:val="22"/>
        </w:rPr>
      </w:pPr>
      <w:r w:rsidRPr="00375BA3">
        <w:rPr>
          <w:rFonts w:ascii="Calibri" w:hAnsi="Calibri" w:cs="Calibri"/>
          <w:szCs w:val="22"/>
        </w:rPr>
        <w:t>The College will ensure that:</w:t>
      </w:r>
    </w:p>
    <w:p w14:paraId="50FEEA15" w14:textId="77777777" w:rsidR="00375BA3" w:rsidRPr="00375BA3" w:rsidRDefault="00375BA3" w:rsidP="00375BA3">
      <w:pPr>
        <w:tabs>
          <w:tab w:val="right" w:pos="9639"/>
        </w:tabs>
        <w:jc w:val="both"/>
        <w:rPr>
          <w:rFonts w:ascii="Calibri" w:hAnsi="Calibri" w:cs="Calibri"/>
          <w:szCs w:val="22"/>
        </w:rPr>
      </w:pPr>
    </w:p>
    <w:p w14:paraId="50FEEA16"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Fees are payable for a programme/qualification and will not be unduly varied (e.g. for variations in the length of the delivery of the programme)</w:t>
      </w:r>
    </w:p>
    <w:p w14:paraId="50FEEA17" w14:textId="77777777" w:rsidR="00375BA3" w:rsidRPr="00375BA3" w:rsidRDefault="00375BA3" w:rsidP="00375BA3">
      <w:pPr>
        <w:tabs>
          <w:tab w:val="right" w:pos="9639"/>
        </w:tabs>
        <w:ind w:left="360"/>
        <w:jc w:val="both"/>
        <w:rPr>
          <w:rFonts w:ascii="Calibri" w:hAnsi="Calibri" w:cs="Calibri"/>
          <w:szCs w:val="22"/>
        </w:rPr>
      </w:pPr>
    </w:p>
    <w:p w14:paraId="50FEEA18"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Fees are correctly set up for all courses on the student records system</w:t>
      </w:r>
    </w:p>
    <w:p w14:paraId="50FEEA19" w14:textId="77777777" w:rsidR="00375BA3" w:rsidRPr="00375BA3" w:rsidRDefault="00375BA3" w:rsidP="00375BA3">
      <w:pPr>
        <w:tabs>
          <w:tab w:val="right" w:pos="9639"/>
        </w:tabs>
        <w:ind w:left="360"/>
        <w:jc w:val="both"/>
        <w:rPr>
          <w:rFonts w:ascii="Calibri" w:hAnsi="Calibri" w:cs="Calibri"/>
          <w:szCs w:val="22"/>
        </w:rPr>
      </w:pPr>
    </w:p>
    <w:p w14:paraId="50FEEA1A" w14:textId="49089970"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 xml:space="preserve">Fees are readily available and easily accessible for all current and prospective students, including information on any </w:t>
      </w:r>
      <w:r w:rsidR="00C365DF">
        <w:rPr>
          <w:rFonts w:ascii="Calibri" w:hAnsi="Calibri" w:cs="Calibri"/>
          <w:szCs w:val="22"/>
        </w:rPr>
        <w:t>bursary</w:t>
      </w:r>
      <w:r w:rsidRPr="00375BA3">
        <w:rPr>
          <w:rFonts w:ascii="Calibri" w:hAnsi="Calibri" w:cs="Calibri"/>
          <w:szCs w:val="22"/>
        </w:rPr>
        <w:t xml:space="preserve"> which might be available (including 24+ Advanced Learn</w:t>
      </w:r>
      <w:r w:rsidR="001E0D1C">
        <w:rPr>
          <w:rFonts w:ascii="Calibri" w:hAnsi="Calibri" w:cs="Calibri"/>
          <w:szCs w:val="22"/>
        </w:rPr>
        <w:t>ing</w:t>
      </w:r>
      <w:r w:rsidRPr="00375BA3">
        <w:rPr>
          <w:rFonts w:ascii="Calibri" w:hAnsi="Calibri" w:cs="Calibri"/>
          <w:szCs w:val="22"/>
        </w:rPr>
        <w:t xml:space="preserve"> Loans)</w:t>
      </w:r>
    </w:p>
    <w:p w14:paraId="50FEEA1B" w14:textId="77777777" w:rsidR="00375BA3" w:rsidRPr="00375BA3" w:rsidRDefault="00375BA3" w:rsidP="00375BA3">
      <w:pPr>
        <w:tabs>
          <w:tab w:val="right" w:pos="9639"/>
        </w:tabs>
        <w:jc w:val="both"/>
        <w:rPr>
          <w:rFonts w:ascii="Calibri" w:hAnsi="Calibri" w:cs="Calibri"/>
          <w:szCs w:val="22"/>
        </w:rPr>
      </w:pPr>
    </w:p>
    <w:p w14:paraId="50FEEA1C"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Clear information is provided to all students regarding the fee policy, fee concessions and entitlement to refunds</w:t>
      </w:r>
    </w:p>
    <w:p w14:paraId="50FEEA1D" w14:textId="77777777" w:rsidR="00375BA3" w:rsidRPr="00375BA3" w:rsidRDefault="00375BA3" w:rsidP="00375BA3">
      <w:pPr>
        <w:tabs>
          <w:tab w:val="right" w:pos="9639"/>
        </w:tabs>
        <w:jc w:val="both"/>
        <w:rPr>
          <w:rFonts w:ascii="Calibri" w:hAnsi="Calibri" w:cs="Calibri"/>
          <w:szCs w:val="22"/>
        </w:rPr>
      </w:pPr>
    </w:p>
    <w:p w14:paraId="50FEEA1E" w14:textId="4794C330"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Fees are due in full on enrolment and by enrolling</w:t>
      </w:r>
      <w:r w:rsidR="006D28DF">
        <w:rPr>
          <w:rFonts w:ascii="Calibri" w:hAnsi="Calibri" w:cs="Calibri"/>
          <w:szCs w:val="22"/>
        </w:rPr>
        <w:t>,</w:t>
      </w:r>
      <w:r w:rsidRPr="00375BA3">
        <w:rPr>
          <w:rFonts w:ascii="Calibri" w:hAnsi="Calibri" w:cs="Calibri"/>
          <w:szCs w:val="22"/>
        </w:rPr>
        <w:t xml:space="preserve"> the student is committing to pay the whole fee irrespective of whether they attend for the whole of the course in question or any part of it</w:t>
      </w:r>
    </w:p>
    <w:p w14:paraId="50FEEA1F" w14:textId="77777777" w:rsidR="00375BA3" w:rsidRPr="00375BA3" w:rsidRDefault="00375BA3" w:rsidP="00375BA3">
      <w:pPr>
        <w:tabs>
          <w:tab w:val="right" w:pos="9639"/>
        </w:tabs>
        <w:jc w:val="both"/>
        <w:rPr>
          <w:rFonts w:ascii="Calibri" w:hAnsi="Calibri" w:cs="Calibri"/>
          <w:szCs w:val="22"/>
        </w:rPr>
      </w:pPr>
    </w:p>
    <w:p w14:paraId="50FEEA20"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Staff enrolling students onto the system are fully trained and briefed to ensure that they fully understand the process and implications of entering data into various fields</w:t>
      </w:r>
    </w:p>
    <w:p w14:paraId="50FEEA21" w14:textId="77777777" w:rsidR="00375BA3" w:rsidRPr="00375BA3" w:rsidRDefault="00375BA3" w:rsidP="00375BA3">
      <w:pPr>
        <w:tabs>
          <w:tab w:val="right" w:pos="9639"/>
        </w:tabs>
        <w:ind w:left="360"/>
        <w:jc w:val="both"/>
        <w:rPr>
          <w:rFonts w:ascii="Calibri" w:hAnsi="Calibri" w:cs="Calibri"/>
          <w:szCs w:val="22"/>
        </w:rPr>
      </w:pPr>
    </w:p>
    <w:p w14:paraId="50FEEA22" w14:textId="7C975A56" w:rsidR="00375BA3" w:rsidRPr="00375BA3" w:rsidRDefault="00C365DF" w:rsidP="00375BA3">
      <w:pPr>
        <w:numPr>
          <w:ilvl w:val="0"/>
          <w:numId w:val="5"/>
        </w:numPr>
        <w:tabs>
          <w:tab w:val="right" w:pos="9639"/>
        </w:tabs>
        <w:jc w:val="both"/>
        <w:rPr>
          <w:rFonts w:ascii="Calibri" w:hAnsi="Calibri" w:cs="Calibri"/>
          <w:szCs w:val="22"/>
        </w:rPr>
      </w:pPr>
      <w:r>
        <w:rPr>
          <w:rFonts w:ascii="Calibri" w:hAnsi="Calibri" w:cs="Calibri"/>
          <w:szCs w:val="22"/>
        </w:rPr>
        <w:t xml:space="preserve">Instalment </w:t>
      </w:r>
      <w:r w:rsidR="00375BA3" w:rsidRPr="00375BA3">
        <w:rPr>
          <w:rFonts w:ascii="Calibri" w:hAnsi="Calibri" w:cs="Calibri"/>
          <w:szCs w:val="22"/>
        </w:rPr>
        <w:t>plan arrangements are available as required and as appropriate</w:t>
      </w:r>
    </w:p>
    <w:p w14:paraId="50FEEA23" w14:textId="77777777" w:rsidR="00375BA3" w:rsidRPr="00375BA3" w:rsidRDefault="00375BA3" w:rsidP="00375BA3">
      <w:pPr>
        <w:tabs>
          <w:tab w:val="right" w:pos="9639"/>
        </w:tabs>
        <w:jc w:val="both"/>
        <w:rPr>
          <w:rFonts w:ascii="Calibri" w:hAnsi="Calibri" w:cs="Calibri"/>
          <w:szCs w:val="22"/>
        </w:rPr>
      </w:pPr>
    </w:p>
    <w:p w14:paraId="50FEEA24"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Procedures exist for agreeing non-standard fees</w:t>
      </w:r>
    </w:p>
    <w:p w14:paraId="50FEEA25" w14:textId="77777777" w:rsidR="00375BA3" w:rsidRPr="00375BA3" w:rsidRDefault="00375BA3" w:rsidP="00375BA3">
      <w:pPr>
        <w:tabs>
          <w:tab w:val="right" w:pos="9639"/>
        </w:tabs>
        <w:jc w:val="both"/>
        <w:rPr>
          <w:rFonts w:ascii="Calibri" w:hAnsi="Calibri" w:cs="Calibri"/>
          <w:szCs w:val="22"/>
        </w:rPr>
      </w:pPr>
    </w:p>
    <w:p w14:paraId="50FEEA26" w14:textId="77777777" w:rsidR="00375BA3" w:rsidRPr="00375BA3" w:rsidRDefault="00375BA3" w:rsidP="00375BA3">
      <w:pPr>
        <w:numPr>
          <w:ilvl w:val="0"/>
          <w:numId w:val="5"/>
        </w:numPr>
        <w:tabs>
          <w:tab w:val="right" w:pos="9639"/>
        </w:tabs>
        <w:jc w:val="both"/>
        <w:rPr>
          <w:rFonts w:ascii="Calibri" w:hAnsi="Calibri" w:cs="Calibri"/>
          <w:szCs w:val="22"/>
        </w:rPr>
      </w:pPr>
      <w:r w:rsidRPr="00375BA3">
        <w:rPr>
          <w:rFonts w:ascii="Calibri" w:hAnsi="Calibri" w:cs="Calibri"/>
          <w:szCs w:val="22"/>
        </w:rPr>
        <w:t>The College has a refund policy that sets out clearly the circumstances under which refunds will be made.</w:t>
      </w:r>
    </w:p>
    <w:p w14:paraId="50FEEA27" w14:textId="77777777" w:rsidR="00375BA3" w:rsidRDefault="00375BA3" w:rsidP="00375BA3">
      <w:pPr>
        <w:rPr>
          <w:rFonts w:ascii="Calibri" w:hAnsi="Calibri" w:cs="Calibri"/>
          <w:b/>
          <w:szCs w:val="22"/>
        </w:rPr>
      </w:pPr>
    </w:p>
    <w:p w14:paraId="50FEEA28" w14:textId="77777777" w:rsidR="00375BA3" w:rsidRPr="00375BA3" w:rsidRDefault="00375BA3" w:rsidP="00375BA3">
      <w:pPr>
        <w:rPr>
          <w:rFonts w:ascii="Calibri" w:hAnsi="Calibri" w:cs="Calibri"/>
          <w:b/>
          <w:szCs w:val="22"/>
        </w:rPr>
      </w:pPr>
    </w:p>
    <w:p w14:paraId="50FEEA29" w14:textId="60D90A96" w:rsidR="00375BA3" w:rsidRPr="00375BA3" w:rsidRDefault="00375BA3" w:rsidP="00375BA3">
      <w:pPr>
        <w:spacing w:after="240"/>
        <w:rPr>
          <w:rFonts w:ascii="Calibri" w:hAnsi="Calibri" w:cs="Calibri"/>
          <w:b/>
          <w:color w:val="31849B"/>
          <w:sz w:val="28"/>
          <w:szCs w:val="22"/>
        </w:rPr>
      </w:pPr>
      <w:r w:rsidRPr="00375BA3">
        <w:rPr>
          <w:rFonts w:ascii="Calibri" w:hAnsi="Calibri" w:cs="Calibri"/>
          <w:b/>
          <w:color w:val="31849B"/>
          <w:sz w:val="28"/>
          <w:szCs w:val="22"/>
        </w:rPr>
        <w:t>Operational Outcomes</w:t>
      </w:r>
    </w:p>
    <w:p w14:paraId="50FEEA2A" w14:textId="77777777" w:rsidR="00375BA3" w:rsidRPr="00375BA3" w:rsidRDefault="00375BA3" w:rsidP="00375BA3">
      <w:pPr>
        <w:numPr>
          <w:ilvl w:val="0"/>
          <w:numId w:val="6"/>
        </w:numPr>
        <w:tabs>
          <w:tab w:val="right" w:pos="9639"/>
        </w:tabs>
        <w:jc w:val="both"/>
        <w:rPr>
          <w:rFonts w:ascii="Calibri" w:hAnsi="Calibri" w:cs="Calibri"/>
          <w:szCs w:val="22"/>
        </w:rPr>
      </w:pPr>
      <w:r w:rsidRPr="00375BA3">
        <w:rPr>
          <w:rFonts w:ascii="Calibri" w:hAnsi="Calibri" w:cs="Calibri"/>
          <w:szCs w:val="22"/>
        </w:rPr>
        <w:t>On enrolment, students are clear about the fees they are expected to pay, and understand what options are available for financial assistance as required.</w:t>
      </w:r>
    </w:p>
    <w:p w14:paraId="50FEEA2B" w14:textId="77777777" w:rsidR="00375BA3" w:rsidRPr="00375BA3" w:rsidRDefault="00375BA3" w:rsidP="00375BA3">
      <w:pPr>
        <w:jc w:val="both"/>
        <w:rPr>
          <w:rFonts w:ascii="Calibri" w:hAnsi="Calibri" w:cs="Calibri"/>
          <w:szCs w:val="22"/>
        </w:rPr>
      </w:pPr>
    </w:p>
    <w:p w14:paraId="50FEEA2C" w14:textId="77777777" w:rsidR="00375BA3" w:rsidRPr="00375BA3" w:rsidRDefault="00375BA3" w:rsidP="00375BA3">
      <w:pPr>
        <w:pStyle w:val="Heading3"/>
        <w:rPr>
          <w:rFonts w:ascii="Calibri" w:hAnsi="Calibri" w:cs="Calibri"/>
          <w:color w:val="31849B"/>
          <w:sz w:val="22"/>
          <w:szCs w:val="22"/>
        </w:rPr>
      </w:pPr>
      <w:r>
        <w:rPr>
          <w:rFonts w:ascii="Calibri" w:hAnsi="Calibri" w:cs="Calibri"/>
          <w:color w:val="31849B"/>
          <w:sz w:val="28"/>
          <w:szCs w:val="22"/>
        </w:rPr>
        <w:t>S</w:t>
      </w:r>
      <w:r w:rsidRPr="00375BA3">
        <w:rPr>
          <w:rFonts w:ascii="Calibri" w:hAnsi="Calibri" w:cs="Calibri"/>
          <w:color w:val="31849B"/>
          <w:sz w:val="28"/>
          <w:szCs w:val="22"/>
        </w:rPr>
        <w:t>upplementary Documentation</w:t>
      </w:r>
    </w:p>
    <w:p w14:paraId="50FEEA2D" w14:textId="77777777" w:rsidR="00375BA3" w:rsidRPr="00375BA3" w:rsidRDefault="00375BA3" w:rsidP="00375BA3">
      <w:pPr>
        <w:rPr>
          <w:rFonts w:ascii="Calibri" w:hAnsi="Calibri" w:cs="Calibri"/>
          <w:bCs/>
          <w:szCs w:val="22"/>
        </w:rPr>
      </w:pPr>
    </w:p>
    <w:p w14:paraId="50FEEA2E" w14:textId="77777777" w:rsidR="00375BA3" w:rsidRDefault="00375BA3" w:rsidP="00375BA3">
      <w:pPr>
        <w:numPr>
          <w:ilvl w:val="0"/>
          <w:numId w:val="7"/>
        </w:numPr>
        <w:jc w:val="both"/>
        <w:rPr>
          <w:rFonts w:ascii="Calibri" w:hAnsi="Calibri" w:cs="Calibri"/>
          <w:bCs/>
          <w:szCs w:val="22"/>
        </w:rPr>
      </w:pPr>
      <w:r w:rsidRPr="00375BA3">
        <w:rPr>
          <w:rFonts w:ascii="Calibri" w:hAnsi="Calibri" w:cs="Calibri"/>
          <w:bCs/>
          <w:szCs w:val="22"/>
        </w:rPr>
        <w:t xml:space="preserve">Refund Guidance Notes </w:t>
      </w:r>
      <w:r w:rsidR="00DB184D">
        <w:rPr>
          <w:rFonts w:ascii="Calibri" w:hAnsi="Calibri" w:cs="Calibri"/>
          <w:bCs/>
          <w:szCs w:val="22"/>
        </w:rPr>
        <w:t>(Appendix 1)</w:t>
      </w:r>
    </w:p>
    <w:p w14:paraId="50FEEA2F" w14:textId="77777777" w:rsidR="00DB184D" w:rsidRPr="00375BA3" w:rsidRDefault="00DB184D" w:rsidP="00375BA3">
      <w:pPr>
        <w:numPr>
          <w:ilvl w:val="0"/>
          <w:numId w:val="7"/>
        </w:numPr>
        <w:jc w:val="both"/>
        <w:rPr>
          <w:rFonts w:ascii="Calibri" w:hAnsi="Calibri" w:cs="Calibri"/>
          <w:bCs/>
          <w:szCs w:val="22"/>
        </w:rPr>
      </w:pPr>
      <w:r>
        <w:rPr>
          <w:rFonts w:ascii="Calibri" w:hAnsi="Calibri" w:cs="Calibri"/>
          <w:bCs/>
          <w:szCs w:val="22"/>
        </w:rPr>
        <w:t>Refund Policy for ESOL-EFL (Appendix 2)</w:t>
      </w:r>
    </w:p>
    <w:p w14:paraId="50FEEA30" w14:textId="77777777" w:rsidR="00375BA3" w:rsidRPr="00375BA3" w:rsidRDefault="00375BA3" w:rsidP="00375BA3">
      <w:pPr>
        <w:numPr>
          <w:ilvl w:val="0"/>
          <w:numId w:val="7"/>
        </w:numPr>
        <w:jc w:val="both"/>
        <w:rPr>
          <w:rFonts w:ascii="Calibri" w:hAnsi="Calibri" w:cs="Calibri"/>
          <w:bCs/>
          <w:szCs w:val="22"/>
        </w:rPr>
      </w:pPr>
      <w:r w:rsidRPr="00375BA3">
        <w:rPr>
          <w:rFonts w:ascii="Calibri" w:hAnsi="Calibri" w:cs="Calibri"/>
          <w:bCs/>
          <w:szCs w:val="22"/>
        </w:rPr>
        <w:t>Fee Information</w:t>
      </w:r>
      <w:r w:rsidRPr="00375BA3">
        <w:rPr>
          <w:rFonts w:ascii="Calibri" w:hAnsi="Calibri" w:cs="Calibri"/>
          <w:bCs/>
          <w:i/>
          <w:szCs w:val="22"/>
        </w:rPr>
        <w:t xml:space="preserve"> (available in full time and part time prospectus)</w:t>
      </w:r>
    </w:p>
    <w:p w14:paraId="50FEEA31" w14:textId="64EA2B58" w:rsidR="00DB184D" w:rsidRDefault="00375BA3" w:rsidP="00375BA3">
      <w:pPr>
        <w:numPr>
          <w:ilvl w:val="0"/>
          <w:numId w:val="7"/>
        </w:numPr>
        <w:jc w:val="both"/>
        <w:rPr>
          <w:rFonts w:ascii="Calibri" w:hAnsi="Calibri" w:cs="Calibri"/>
          <w:bCs/>
          <w:szCs w:val="22"/>
        </w:rPr>
      </w:pPr>
      <w:r w:rsidRPr="00375BA3">
        <w:rPr>
          <w:rFonts w:ascii="Calibri" w:hAnsi="Calibri" w:cs="Calibri"/>
          <w:bCs/>
          <w:szCs w:val="22"/>
        </w:rPr>
        <w:t>Enrolment Briefing Notes</w:t>
      </w:r>
    </w:p>
    <w:p w14:paraId="068DB9D2" w14:textId="7D8DA32C" w:rsidR="00FF35A5" w:rsidRDefault="00FF35A5" w:rsidP="00375BA3">
      <w:pPr>
        <w:numPr>
          <w:ilvl w:val="0"/>
          <w:numId w:val="7"/>
        </w:numPr>
        <w:jc w:val="both"/>
        <w:rPr>
          <w:rFonts w:ascii="Calibri" w:hAnsi="Calibri" w:cs="Calibri"/>
          <w:bCs/>
          <w:szCs w:val="22"/>
        </w:rPr>
      </w:pPr>
      <w:r w:rsidRPr="002577FA">
        <w:rPr>
          <w:rFonts w:ascii="Calibri" w:hAnsi="Calibri" w:cs="Calibri"/>
          <w:bCs/>
          <w:szCs w:val="22"/>
        </w:rPr>
        <w:t>Refunds</w:t>
      </w:r>
      <w:r w:rsidR="002E11AA" w:rsidRPr="002577FA">
        <w:rPr>
          <w:rFonts w:ascii="Calibri" w:hAnsi="Calibri" w:cs="Calibri"/>
          <w:bCs/>
          <w:szCs w:val="22"/>
        </w:rPr>
        <w:t xml:space="preserve"> Policy for</w:t>
      </w:r>
      <w:r w:rsidRPr="002577FA">
        <w:rPr>
          <w:rFonts w:ascii="Calibri" w:hAnsi="Calibri" w:cs="Calibri"/>
          <w:bCs/>
          <w:szCs w:val="22"/>
        </w:rPr>
        <w:t xml:space="preserve"> Higher Education Courses (Appendix 3)</w:t>
      </w:r>
    </w:p>
    <w:p w14:paraId="3DB9C9A4" w14:textId="7464666E" w:rsidR="00492035" w:rsidRPr="002577FA" w:rsidRDefault="00492035" w:rsidP="00375BA3">
      <w:pPr>
        <w:numPr>
          <w:ilvl w:val="0"/>
          <w:numId w:val="7"/>
        </w:numPr>
        <w:jc w:val="both"/>
        <w:rPr>
          <w:rFonts w:ascii="Calibri" w:hAnsi="Calibri" w:cs="Calibri"/>
          <w:bCs/>
          <w:szCs w:val="22"/>
        </w:rPr>
      </w:pPr>
      <w:r>
        <w:rPr>
          <w:rFonts w:ascii="Calibri" w:hAnsi="Calibri" w:cs="Calibri"/>
          <w:bCs/>
          <w:szCs w:val="22"/>
        </w:rPr>
        <w:t>Refunds Policy for Apprenticeships and Work-based Learning (Appendix 4)</w:t>
      </w:r>
    </w:p>
    <w:p w14:paraId="50FEEA32" w14:textId="77777777" w:rsidR="00DB184D" w:rsidRDefault="00DB184D">
      <w:pPr>
        <w:rPr>
          <w:rFonts w:ascii="Calibri" w:hAnsi="Calibri" w:cs="Calibri"/>
          <w:bCs/>
          <w:szCs w:val="22"/>
        </w:rPr>
      </w:pPr>
      <w:r>
        <w:rPr>
          <w:rFonts w:ascii="Calibri" w:hAnsi="Calibri" w:cs="Calibri"/>
          <w:bCs/>
          <w:szCs w:val="22"/>
        </w:rPr>
        <w:br w:type="page"/>
      </w:r>
    </w:p>
    <w:p w14:paraId="50FEEA33" w14:textId="77777777" w:rsidR="00323C44" w:rsidRDefault="00323C44" w:rsidP="00323C44">
      <w:pPr>
        <w:rPr>
          <w:rFonts w:asciiTheme="minorHAnsi" w:hAnsiTheme="minorHAnsi" w:cstheme="minorHAnsi"/>
          <w:b/>
          <w:color w:val="31849B" w:themeColor="accent5" w:themeShade="BF"/>
          <w:sz w:val="24"/>
          <w:szCs w:val="32"/>
        </w:rPr>
      </w:pPr>
      <w:r w:rsidRPr="00C20929">
        <w:rPr>
          <w:rFonts w:asciiTheme="minorHAnsi" w:hAnsiTheme="minorHAnsi" w:cstheme="minorHAnsi"/>
          <w:b/>
          <w:color w:val="31849B" w:themeColor="accent5" w:themeShade="BF"/>
          <w:sz w:val="28"/>
          <w:szCs w:val="32"/>
        </w:rPr>
        <w:t>Appendix 1</w:t>
      </w:r>
    </w:p>
    <w:p w14:paraId="50FEEA34" w14:textId="77777777" w:rsidR="005513CE" w:rsidRPr="005513CE" w:rsidRDefault="005513CE" w:rsidP="00323C44">
      <w:pPr>
        <w:rPr>
          <w:rFonts w:asciiTheme="minorHAnsi" w:hAnsiTheme="minorHAnsi" w:cstheme="minorHAnsi"/>
          <w:b/>
          <w:color w:val="31849B" w:themeColor="accent5" w:themeShade="BF"/>
          <w:sz w:val="12"/>
          <w:szCs w:val="32"/>
        </w:rPr>
      </w:pPr>
    </w:p>
    <w:p w14:paraId="50FEEA35" w14:textId="77777777" w:rsidR="00323C44" w:rsidRPr="00C20929" w:rsidRDefault="00323C44" w:rsidP="00323C44">
      <w:pPr>
        <w:rPr>
          <w:rFonts w:asciiTheme="minorHAnsi" w:hAnsiTheme="minorHAnsi" w:cstheme="minorHAnsi"/>
          <w:b/>
          <w:color w:val="31849B" w:themeColor="accent5" w:themeShade="BF"/>
          <w:sz w:val="28"/>
          <w:szCs w:val="32"/>
        </w:rPr>
      </w:pPr>
      <w:r w:rsidRPr="00C20929">
        <w:rPr>
          <w:rFonts w:asciiTheme="minorHAnsi" w:hAnsiTheme="minorHAnsi" w:cstheme="minorHAnsi"/>
          <w:b/>
          <w:color w:val="31849B" w:themeColor="accent5" w:themeShade="BF"/>
          <w:sz w:val="28"/>
          <w:szCs w:val="32"/>
        </w:rPr>
        <w:t>Guidance notes on application for refund or adjustment of course fees</w:t>
      </w:r>
    </w:p>
    <w:p w14:paraId="50FEEA36" w14:textId="77777777" w:rsidR="00323C44" w:rsidRDefault="00323C44" w:rsidP="00323C44">
      <w:pPr>
        <w:jc w:val="both"/>
        <w:rPr>
          <w:b/>
          <w:u w:val="single"/>
        </w:rPr>
      </w:pPr>
    </w:p>
    <w:p w14:paraId="50FEEA37" w14:textId="77777777" w:rsidR="00323C44" w:rsidRPr="00A56679" w:rsidRDefault="00323C44" w:rsidP="00323C44">
      <w:pPr>
        <w:pStyle w:val="ListParagraph"/>
        <w:numPr>
          <w:ilvl w:val="0"/>
          <w:numId w:val="8"/>
        </w:numPr>
        <w:ind w:left="540"/>
        <w:jc w:val="both"/>
        <w:rPr>
          <w:rFonts w:asciiTheme="minorHAnsi" w:hAnsiTheme="minorHAnsi" w:cstheme="minorHAnsi"/>
          <w:b/>
          <w:sz w:val="22"/>
          <w:szCs w:val="22"/>
          <w:u w:val="single"/>
        </w:rPr>
      </w:pPr>
      <w:r w:rsidRPr="00A56679">
        <w:rPr>
          <w:rFonts w:asciiTheme="minorHAnsi" w:hAnsiTheme="minorHAnsi" w:cstheme="minorHAnsi"/>
          <w:sz w:val="22"/>
          <w:szCs w:val="22"/>
        </w:rPr>
        <w:t>Application must be made for either refund of course fees paid or adjustment to course fee due</w:t>
      </w:r>
    </w:p>
    <w:p w14:paraId="50FEEA38" w14:textId="77777777" w:rsidR="00323C44" w:rsidRPr="00A56679" w:rsidRDefault="00323C44" w:rsidP="00323C44">
      <w:pPr>
        <w:pStyle w:val="ListParagraph"/>
        <w:numPr>
          <w:ilvl w:val="0"/>
          <w:numId w:val="8"/>
        </w:numPr>
        <w:ind w:left="540"/>
        <w:jc w:val="both"/>
        <w:rPr>
          <w:rFonts w:asciiTheme="minorHAnsi" w:hAnsiTheme="minorHAnsi" w:cstheme="minorHAnsi"/>
          <w:b/>
          <w:sz w:val="22"/>
          <w:szCs w:val="22"/>
          <w:u w:val="single"/>
        </w:rPr>
      </w:pPr>
      <w:r w:rsidRPr="00A56679">
        <w:rPr>
          <w:rFonts w:asciiTheme="minorHAnsi" w:hAnsiTheme="minorHAnsi" w:cstheme="minorHAnsi"/>
          <w:sz w:val="22"/>
          <w:szCs w:val="22"/>
        </w:rPr>
        <w:t xml:space="preserve">Application forms are available from </w:t>
      </w:r>
      <w:r>
        <w:rPr>
          <w:rFonts w:asciiTheme="minorHAnsi" w:hAnsiTheme="minorHAnsi" w:cstheme="minorHAnsi"/>
          <w:sz w:val="22"/>
          <w:szCs w:val="22"/>
        </w:rPr>
        <w:t>any of the</w:t>
      </w:r>
      <w:r w:rsidRPr="00A56679">
        <w:rPr>
          <w:rFonts w:asciiTheme="minorHAnsi" w:hAnsiTheme="minorHAnsi" w:cstheme="minorHAnsi"/>
          <w:sz w:val="22"/>
          <w:szCs w:val="22"/>
        </w:rPr>
        <w:t xml:space="preserve"> College</w:t>
      </w:r>
      <w:r>
        <w:rPr>
          <w:rFonts w:asciiTheme="minorHAnsi" w:hAnsiTheme="minorHAnsi" w:cstheme="minorHAnsi"/>
          <w:sz w:val="22"/>
          <w:szCs w:val="22"/>
        </w:rPr>
        <w:t>’s</w:t>
      </w:r>
      <w:r w:rsidRPr="00A56679">
        <w:rPr>
          <w:rFonts w:asciiTheme="minorHAnsi" w:hAnsiTheme="minorHAnsi" w:cstheme="minorHAnsi"/>
          <w:sz w:val="22"/>
          <w:szCs w:val="22"/>
        </w:rPr>
        <w:t xml:space="preserve"> </w:t>
      </w:r>
      <w:r>
        <w:rPr>
          <w:rFonts w:asciiTheme="minorHAnsi" w:hAnsiTheme="minorHAnsi" w:cstheme="minorHAnsi"/>
          <w:sz w:val="22"/>
          <w:szCs w:val="22"/>
        </w:rPr>
        <w:t>Student Centres</w:t>
      </w:r>
    </w:p>
    <w:p w14:paraId="50FEEA39" w14:textId="77777777" w:rsidR="00323C44" w:rsidRPr="00A56679" w:rsidRDefault="00323C44" w:rsidP="00323C44">
      <w:pPr>
        <w:pStyle w:val="ListParagraph"/>
        <w:numPr>
          <w:ilvl w:val="0"/>
          <w:numId w:val="8"/>
        </w:numPr>
        <w:ind w:left="540"/>
        <w:jc w:val="both"/>
        <w:rPr>
          <w:rFonts w:asciiTheme="minorHAnsi" w:hAnsiTheme="minorHAnsi" w:cstheme="minorHAnsi"/>
          <w:b/>
          <w:sz w:val="22"/>
          <w:szCs w:val="22"/>
          <w:u w:val="single"/>
        </w:rPr>
      </w:pPr>
      <w:r w:rsidRPr="00A56679">
        <w:rPr>
          <w:rFonts w:asciiTheme="minorHAnsi" w:hAnsiTheme="minorHAnsi" w:cstheme="minorHAnsi"/>
          <w:sz w:val="22"/>
          <w:szCs w:val="22"/>
        </w:rPr>
        <w:t>Applications must be received by the College within 4 weeks of last date of attendance</w:t>
      </w:r>
    </w:p>
    <w:p w14:paraId="50FEEA3A" w14:textId="33904827" w:rsidR="00323C44" w:rsidRPr="00A56679" w:rsidRDefault="00323C44" w:rsidP="00323C44">
      <w:pPr>
        <w:pStyle w:val="ListParagraph"/>
        <w:numPr>
          <w:ilvl w:val="0"/>
          <w:numId w:val="8"/>
        </w:numPr>
        <w:ind w:left="540"/>
        <w:jc w:val="both"/>
        <w:rPr>
          <w:rFonts w:asciiTheme="minorHAnsi" w:hAnsiTheme="minorHAnsi" w:cstheme="minorHAnsi"/>
          <w:b/>
          <w:sz w:val="22"/>
          <w:szCs w:val="22"/>
          <w:u w:val="single"/>
        </w:rPr>
      </w:pPr>
      <w:r>
        <w:rPr>
          <w:rFonts w:asciiTheme="minorHAnsi" w:hAnsiTheme="minorHAnsi" w:cstheme="minorHAnsi"/>
          <w:sz w:val="22"/>
          <w:szCs w:val="22"/>
        </w:rPr>
        <w:t>We will endeavour to process r</w:t>
      </w:r>
      <w:r w:rsidRPr="00A56679">
        <w:rPr>
          <w:rFonts w:asciiTheme="minorHAnsi" w:hAnsiTheme="minorHAnsi" w:cstheme="minorHAnsi"/>
          <w:sz w:val="22"/>
          <w:szCs w:val="22"/>
        </w:rPr>
        <w:t xml:space="preserve">efunds within 20 working days of receipt of </w:t>
      </w:r>
      <w:r>
        <w:rPr>
          <w:rFonts w:asciiTheme="minorHAnsi" w:hAnsiTheme="minorHAnsi" w:cstheme="minorHAnsi"/>
          <w:sz w:val="22"/>
          <w:szCs w:val="22"/>
        </w:rPr>
        <w:t>a</w:t>
      </w:r>
      <w:r w:rsidRPr="00A56679">
        <w:rPr>
          <w:rFonts w:asciiTheme="minorHAnsi" w:hAnsiTheme="minorHAnsi" w:cstheme="minorHAnsi"/>
          <w:sz w:val="22"/>
          <w:szCs w:val="22"/>
        </w:rPr>
        <w:t xml:space="preserve">pplication, with the exception of reason </w:t>
      </w:r>
      <w:r w:rsidR="003D5DE4">
        <w:rPr>
          <w:rFonts w:asciiTheme="minorHAnsi" w:hAnsiTheme="minorHAnsi" w:cstheme="minorHAnsi"/>
          <w:sz w:val="22"/>
          <w:szCs w:val="22"/>
        </w:rPr>
        <w:t>5 below.</w:t>
      </w:r>
    </w:p>
    <w:p w14:paraId="50FEEA3B" w14:textId="77777777" w:rsidR="00323C44" w:rsidRPr="00A56679" w:rsidRDefault="00323C44" w:rsidP="00323C44">
      <w:pPr>
        <w:pStyle w:val="ListParagraph"/>
        <w:jc w:val="both"/>
        <w:rPr>
          <w:rFonts w:asciiTheme="minorHAnsi" w:hAnsiTheme="minorHAnsi" w:cstheme="minorHAnsi"/>
          <w:sz w:val="22"/>
          <w:szCs w:val="22"/>
        </w:rPr>
      </w:pPr>
    </w:p>
    <w:p w14:paraId="50FEEA3C" w14:textId="77777777" w:rsidR="00323C44" w:rsidRPr="00C20929" w:rsidRDefault="00323C44" w:rsidP="00C20929">
      <w:pPr>
        <w:pStyle w:val="ListParagraph"/>
        <w:tabs>
          <w:tab w:val="left" w:pos="-3510"/>
        </w:tabs>
        <w:ind w:left="0"/>
        <w:jc w:val="center"/>
        <w:rPr>
          <w:rFonts w:asciiTheme="minorHAnsi" w:hAnsiTheme="minorHAnsi" w:cstheme="minorHAnsi"/>
          <w:b/>
          <w:color w:val="31849B" w:themeColor="accent5" w:themeShade="BF"/>
          <w:szCs w:val="28"/>
        </w:rPr>
      </w:pPr>
      <w:r w:rsidRPr="00C20929">
        <w:rPr>
          <w:rFonts w:asciiTheme="minorHAnsi" w:hAnsiTheme="minorHAnsi" w:cstheme="minorHAnsi"/>
          <w:b/>
          <w:color w:val="31849B" w:themeColor="accent5" w:themeShade="BF"/>
          <w:szCs w:val="28"/>
        </w:rPr>
        <w:t>Refunds and/or adjustment will be made as follows:</w:t>
      </w:r>
    </w:p>
    <w:p w14:paraId="50FEEA3D" w14:textId="77777777" w:rsidR="00323C44" w:rsidRPr="00A56679" w:rsidRDefault="00323C44" w:rsidP="00323C44">
      <w:pPr>
        <w:pStyle w:val="ListParagraph"/>
        <w:jc w:val="both"/>
        <w:rPr>
          <w:rFonts w:asciiTheme="minorHAnsi" w:hAnsiTheme="minorHAnsi" w:cstheme="minorHAnsi"/>
        </w:rPr>
      </w:pPr>
    </w:p>
    <w:tbl>
      <w:tblPr>
        <w:tblStyle w:val="TableGrid"/>
        <w:tblW w:w="9630" w:type="dxa"/>
        <w:tblInd w:w="-252"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Layout w:type="fixed"/>
        <w:tblLook w:val="04A0" w:firstRow="1" w:lastRow="0" w:firstColumn="1" w:lastColumn="0" w:noHBand="0" w:noVBand="1"/>
      </w:tblPr>
      <w:tblGrid>
        <w:gridCol w:w="3240"/>
        <w:gridCol w:w="2610"/>
        <w:gridCol w:w="3780"/>
      </w:tblGrid>
      <w:tr w:rsidR="00C20929" w:rsidRPr="00C20929" w14:paraId="50FEEA41" w14:textId="77777777" w:rsidTr="005513CE">
        <w:trPr>
          <w:trHeight w:val="432"/>
        </w:trPr>
        <w:tc>
          <w:tcPr>
            <w:tcW w:w="3240" w:type="dxa"/>
            <w:shd w:val="clear" w:color="auto" w:fill="B6DDE8" w:themeFill="accent5" w:themeFillTint="66"/>
            <w:vAlign w:val="center"/>
          </w:tcPr>
          <w:p w14:paraId="50FEEA3E" w14:textId="77777777" w:rsidR="00323C44" w:rsidRPr="00C20929" w:rsidRDefault="00323C44" w:rsidP="00C20929">
            <w:pPr>
              <w:pStyle w:val="ListParagraph"/>
              <w:ind w:left="0" w:right="-108"/>
              <w:jc w:val="center"/>
              <w:rPr>
                <w:rFonts w:asciiTheme="minorHAnsi" w:hAnsiTheme="minorHAnsi" w:cstheme="minorHAnsi"/>
                <w:b/>
                <w:sz w:val="22"/>
                <w:szCs w:val="20"/>
              </w:rPr>
            </w:pPr>
            <w:r w:rsidRPr="00C20929">
              <w:rPr>
                <w:rFonts w:asciiTheme="minorHAnsi" w:hAnsiTheme="minorHAnsi" w:cstheme="minorHAnsi"/>
                <w:b/>
                <w:sz w:val="22"/>
                <w:szCs w:val="20"/>
              </w:rPr>
              <w:t>When</w:t>
            </w:r>
          </w:p>
        </w:tc>
        <w:tc>
          <w:tcPr>
            <w:tcW w:w="2610" w:type="dxa"/>
            <w:shd w:val="clear" w:color="auto" w:fill="B6DDE8" w:themeFill="accent5" w:themeFillTint="66"/>
            <w:vAlign w:val="center"/>
          </w:tcPr>
          <w:p w14:paraId="50FEEA3F" w14:textId="77777777" w:rsidR="00323C44" w:rsidRPr="00C20929" w:rsidRDefault="00323C44" w:rsidP="00C20929">
            <w:pPr>
              <w:pStyle w:val="ListParagraph"/>
              <w:ind w:left="0" w:right="-18"/>
              <w:jc w:val="center"/>
              <w:rPr>
                <w:rFonts w:asciiTheme="minorHAnsi" w:hAnsiTheme="minorHAnsi" w:cstheme="minorHAnsi"/>
                <w:b/>
                <w:sz w:val="22"/>
                <w:szCs w:val="20"/>
              </w:rPr>
            </w:pPr>
            <w:r w:rsidRPr="00C20929">
              <w:rPr>
                <w:rFonts w:asciiTheme="minorHAnsi" w:hAnsiTheme="minorHAnsi" w:cstheme="minorHAnsi"/>
                <w:b/>
                <w:sz w:val="22"/>
                <w:szCs w:val="20"/>
              </w:rPr>
              <w:t>Refund/Adjustment of</w:t>
            </w:r>
          </w:p>
        </w:tc>
        <w:tc>
          <w:tcPr>
            <w:tcW w:w="3780" w:type="dxa"/>
            <w:shd w:val="clear" w:color="auto" w:fill="B6DDE8" w:themeFill="accent5" w:themeFillTint="66"/>
            <w:vAlign w:val="center"/>
          </w:tcPr>
          <w:p w14:paraId="50FEEA40" w14:textId="77777777" w:rsidR="00323C44" w:rsidRPr="00C20929" w:rsidRDefault="00323C44" w:rsidP="00C20929">
            <w:pPr>
              <w:pStyle w:val="ListParagraph"/>
              <w:ind w:left="0" w:right="-18"/>
              <w:jc w:val="center"/>
              <w:rPr>
                <w:rFonts w:asciiTheme="minorHAnsi" w:hAnsiTheme="minorHAnsi" w:cstheme="minorHAnsi"/>
                <w:b/>
                <w:sz w:val="22"/>
                <w:szCs w:val="20"/>
              </w:rPr>
            </w:pPr>
            <w:r w:rsidRPr="00C20929">
              <w:rPr>
                <w:rFonts w:asciiTheme="minorHAnsi" w:hAnsiTheme="minorHAnsi" w:cstheme="minorHAnsi"/>
                <w:b/>
                <w:sz w:val="22"/>
                <w:szCs w:val="20"/>
              </w:rPr>
              <w:t>Application Required</w:t>
            </w:r>
          </w:p>
        </w:tc>
      </w:tr>
      <w:tr w:rsidR="005513CE" w:rsidRPr="00C20929" w14:paraId="50FEEA46" w14:textId="77777777" w:rsidTr="005513CE">
        <w:tc>
          <w:tcPr>
            <w:tcW w:w="3240" w:type="dxa"/>
          </w:tcPr>
          <w:p w14:paraId="50FEEA42" w14:textId="77777777" w:rsidR="00323C44" w:rsidRPr="00C20929" w:rsidRDefault="00323C44" w:rsidP="00C20929">
            <w:pPr>
              <w:pStyle w:val="ListParagraph"/>
              <w:numPr>
                <w:ilvl w:val="0"/>
                <w:numId w:val="9"/>
              </w:numPr>
              <w:ind w:left="0" w:right="-108"/>
              <w:rPr>
                <w:rFonts w:asciiTheme="minorHAnsi" w:hAnsiTheme="minorHAnsi" w:cstheme="minorHAnsi"/>
                <w:sz w:val="21"/>
                <w:szCs w:val="21"/>
              </w:rPr>
            </w:pPr>
            <w:r w:rsidRPr="00C20929">
              <w:rPr>
                <w:rFonts w:asciiTheme="minorHAnsi" w:hAnsiTheme="minorHAnsi" w:cstheme="minorHAnsi"/>
                <w:sz w:val="21"/>
                <w:szCs w:val="21"/>
              </w:rPr>
              <w:t>Course or class fails to start</w:t>
            </w:r>
          </w:p>
        </w:tc>
        <w:tc>
          <w:tcPr>
            <w:tcW w:w="2610" w:type="dxa"/>
          </w:tcPr>
          <w:p w14:paraId="50FEEA43"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All fees</w:t>
            </w:r>
          </w:p>
        </w:tc>
        <w:tc>
          <w:tcPr>
            <w:tcW w:w="3780" w:type="dxa"/>
          </w:tcPr>
          <w:p w14:paraId="50FEEA44"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b/>
                <w:sz w:val="21"/>
                <w:szCs w:val="21"/>
              </w:rPr>
              <w:t>NO</w:t>
            </w:r>
          </w:p>
          <w:p w14:paraId="50FEEA45"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In this situation we do not expect an application to be made. We will ensure full fees are refunded back to debit/credit card or a cheque is posted</w:t>
            </w:r>
          </w:p>
        </w:tc>
      </w:tr>
      <w:tr w:rsidR="005513CE" w:rsidRPr="00C20929" w14:paraId="50FEEA54" w14:textId="77777777" w:rsidTr="005513CE">
        <w:tc>
          <w:tcPr>
            <w:tcW w:w="3240" w:type="dxa"/>
          </w:tcPr>
          <w:p w14:paraId="50FEEA50" w14:textId="77777777" w:rsidR="00323C44" w:rsidRPr="00C20929" w:rsidRDefault="00323C44" w:rsidP="00C20929">
            <w:pPr>
              <w:pStyle w:val="ListParagraph"/>
              <w:numPr>
                <w:ilvl w:val="0"/>
                <w:numId w:val="9"/>
              </w:numPr>
              <w:ind w:left="0" w:right="-108"/>
              <w:rPr>
                <w:rFonts w:asciiTheme="minorHAnsi" w:hAnsiTheme="minorHAnsi" w:cstheme="minorHAnsi"/>
                <w:sz w:val="21"/>
                <w:szCs w:val="21"/>
              </w:rPr>
            </w:pPr>
            <w:r w:rsidRPr="00C20929">
              <w:rPr>
                <w:rFonts w:asciiTheme="minorHAnsi" w:hAnsiTheme="minorHAnsi" w:cstheme="minorHAnsi"/>
                <w:sz w:val="21"/>
                <w:szCs w:val="21"/>
              </w:rPr>
              <w:t>Student withdraws more than 7 days before the start of the course</w:t>
            </w:r>
          </w:p>
        </w:tc>
        <w:tc>
          <w:tcPr>
            <w:tcW w:w="2610" w:type="dxa"/>
          </w:tcPr>
          <w:p w14:paraId="50FEEA51"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All Fees</w:t>
            </w:r>
          </w:p>
          <w:p w14:paraId="50FEEA52" w14:textId="77777777" w:rsidR="00323C44" w:rsidRPr="00C20929" w:rsidRDefault="00323C44" w:rsidP="00C20929">
            <w:pPr>
              <w:pStyle w:val="ListParagraph"/>
              <w:ind w:left="0" w:right="-18"/>
              <w:rPr>
                <w:rFonts w:asciiTheme="minorHAnsi" w:hAnsiTheme="minorHAnsi" w:cstheme="minorHAnsi"/>
                <w:b/>
                <w:sz w:val="21"/>
                <w:szCs w:val="21"/>
              </w:rPr>
            </w:pPr>
          </w:p>
        </w:tc>
        <w:tc>
          <w:tcPr>
            <w:tcW w:w="3780" w:type="dxa"/>
          </w:tcPr>
          <w:p w14:paraId="50FEEA53"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b/>
                <w:sz w:val="21"/>
                <w:szCs w:val="21"/>
              </w:rPr>
              <w:t>YES</w:t>
            </w:r>
          </w:p>
        </w:tc>
      </w:tr>
      <w:tr w:rsidR="005513CE" w:rsidRPr="00C20929" w14:paraId="50FEEA5A" w14:textId="77777777" w:rsidTr="005513CE">
        <w:tc>
          <w:tcPr>
            <w:tcW w:w="3240" w:type="dxa"/>
          </w:tcPr>
          <w:p w14:paraId="50FEEA55" w14:textId="77777777" w:rsidR="00323C44" w:rsidRPr="00C20929" w:rsidRDefault="00323C44" w:rsidP="00C20929">
            <w:pPr>
              <w:pStyle w:val="ListParagraph"/>
              <w:numPr>
                <w:ilvl w:val="0"/>
                <w:numId w:val="9"/>
              </w:numPr>
              <w:ind w:left="0" w:right="-108"/>
              <w:rPr>
                <w:rFonts w:asciiTheme="minorHAnsi" w:hAnsiTheme="minorHAnsi" w:cstheme="minorHAnsi"/>
                <w:sz w:val="21"/>
                <w:szCs w:val="21"/>
              </w:rPr>
            </w:pPr>
            <w:r w:rsidRPr="00C20929">
              <w:rPr>
                <w:rFonts w:asciiTheme="minorHAnsi" w:hAnsiTheme="minorHAnsi" w:cstheme="minorHAnsi"/>
                <w:sz w:val="21"/>
                <w:szCs w:val="21"/>
              </w:rPr>
              <w:t>Student withdraws for medical reasons directly affecting course attendance</w:t>
            </w:r>
          </w:p>
        </w:tc>
        <w:tc>
          <w:tcPr>
            <w:tcW w:w="2610" w:type="dxa"/>
          </w:tcPr>
          <w:p w14:paraId="50FEEA56"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Pro-rata tuition fees</w:t>
            </w:r>
          </w:p>
          <w:p w14:paraId="50FEEA57" w14:textId="77777777" w:rsidR="00323C44" w:rsidRPr="00C20929" w:rsidRDefault="00323C44" w:rsidP="00C20929">
            <w:pPr>
              <w:pStyle w:val="ListParagraph"/>
              <w:ind w:left="0" w:right="-18"/>
              <w:rPr>
                <w:rFonts w:asciiTheme="minorHAnsi" w:hAnsiTheme="minorHAnsi" w:cstheme="minorHAnsi"/>
                <w:b/>
                <w:sz w:val="21"/>
                <w:szCs w:val="21"/>
              </w:rPr>
            </w:pPr>
          </w:p>
        </w:tc>
        <w:tc>
          <w:tcPr>
            <w:tcW w:w="3780" w:type="dxa"/>
          </w:tcPr>
          <w:p w14:paraId="50FEEA58"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b/>
                <w:sz w:val="21"/>
                <w:szCs w:val="21"/>
              </w:rPr>
              <w:t>YES</w:t>
            </w:r>
          </w:p>
          <w:p w14:paraId="50FEEA59"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 xml:space="preserve">Along with a medical certificate </w:t>
            </w:r>
          </w:p>
        </w:tc>
      </w:tr>
      <w:tr w:rsidR="005513CE" w:rsidRPr="00C20929" w14:paraId="50FEEA60" w14:textId="77777777" w:rsidTr="005513CE">
        <w:tc>
          <w:tcPr>
            <w:tcW w:w="3240" w:type="dxa"/>
          </w:tcPr>
          <w:p w14:paraId="50FEEA5B" w14:textId="77777777" w:rsidR="00323C44" w:rsidRPr="00C20929" w:rsidRDefault="00323C44" w:rsidP="00C20929">
            <w:pPr>
              <w:pStyle w:val="ListParagraph"/>
              <w:numPr>
                <w:ilvl w:val="0"/>
                <w:numId w:val="9"/>
              </w:numPr>
              <w:ind w:left="0" w:right="-108"/>
              <w:rPr>
                <w:rFonts w:asciiTheme="minorHAnsi" w:hAnsiTheme="minorHAnsi" w:cstheme="minorHAnsi"/>
                <w:sz w:val="21"/>
                <w:szCs w:val="21"/>
              </w:rPr>
            </w:pPr>
            <w:r w:rsidRPr="00C20929">
              <w:rPr>
                <w:rFonts w:asciiTheme="minorHAnsi" w:hAnsiTheme="minorHAnsi" w:cstheme="minorHAnsi"/>
                <w:sz w:val="21"/>
                <w:szCs w:val="21"/>
              </w:rPr>
              <w:t>Transfer to new course within 4 weeks of start of original course</w:t>
            </w:r>
          </w:p>
        </w:tc>
        <w:tc>
          <w:tcPr>
            <w:tcW w:w="2610" w:type="dxa"/>
          </w:tcPr>
          <w:p w14:paraId="50FEEA5C"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Any fee difference in full</w:t>
            </w:r>
          </w:p>
        </w:tc>
        <w:tc>
          <w:tcPr>
            <w:tcW w:w="3780" w:type="dxa"/>
          </w:tcPr>
          <w:p w14:paraId="50FEEA5D"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b/>
                <w:sz w:val="21"/>
                <w:szCs w:val="21"/>
              </w:rPr>
              <w:t>NO</w:t>
            </w:r>
          </w:p>
          <w:p w14:paraId="50FEEA5E"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Fees refunded back to debit/credit card or Cheque posted</w:t>
            </w:r>
          </w:p>
          <w:p w14:paraId="50FEEA5F"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sz w:val="21"/>
                <w:szCs w:val="21"/>
              </w:rPr>
              <w:t>(after tutor advises of transfer)</w:t>
            </w:r>
          </w:p>
        </w:tc>
      </w:tr>
      <w:tr w:rsidR="005513CE" w:rsidRPr="00C20929" w14:paraId="50FEEA65" w14:textId="77777777" w:rsidTr="005513CE">
        <w:tc>
          <w:tcPr>
            <w:tcW w:w="3240" w:type="dxa"/>
          </w:tcPr>
          <w:p w14:paraId="50FEEA61" w14:textId="77777777" w:rsidR="00323C44" w:rsidRPr="00C20929" w:rsidRDefault="00323C44" w:rsidP="00C20929">
            <w:pPr>
              <w:pStyle w:val="ListParagraph"/>
              <w:numPr>
                <w:ilvl w:val="0"/>
                <w:numId w:val="9"/>
              </w:numPr>
              <w:ind w:left="0" w:right="-108"/>
              <w:rPr>
                <w:rFonts w:asciiTheme="minorHAnsi" w:hAnsiTheme="minorHAnsi" w:cstheme="minorHAnsi"/>
                <w:sz w:val="21"/>
                <w:szCs w:val="21"/>
              </w:rPr>
            </w:pPr>
            <w:r w:rsidRPr="00C20929">
              <w:rPr>
                <w:rFonts w:asciiTheme="minorHAnsi" w:hAnsiTheme="minorHAnsi" w:cstheme="minorHAnsi"/>
                <w:sz w:val="21"/>
                <w:szCs w:val="21"/>
              </w:rPr>
              <w:t>Student makes a written complaint regarding the course and/or quality of teaching which is upheld by the Director of Quality</w:t>
            </w:r>
          </w:p>
        </w:tc>
        <w:tc>
          <w:tcPr>
            <w:tcW w:w="2610" w:type="dxa"/>
          </w:tcPr>
          <w:p w14:paraId="50FEEA62"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Fees as recommended by the Director of Quality</w:t>
            </w:r>
          </w:p>
        </w:tc>
        <w:tc>
          <w:tcPr>
            <w:tcW w:w="3780" w:type="dxa"/>
          </w:tcPr>
          <w:p w14:paraId="50FEEA63" w14:textId="77777777" w:rsidR="00323C44" w:rsidRPr="00C20929" w:rsidRDefault="00323C44" w:rsidP="00C20929">
            <w:pPr>
              <w:pStyle w:val="ListParagraph"/>
              <w:ind w:left="0" w:right="-18"/>
              <w:rPr>
                <w:rFonts w:asciiTheme="minorHAnsi" w:hAnsiTheme="minorHAnsi" w:cstheme="minorHAnsi"/>
                <w:b/>
                <w:sz w:val="21"/>
                <w:szCs w:val="21"/>
              </w:rPr>
            </w:pPr>
            <w:r w:rsidRPr="00C20929">
              <w:rPr>
                <w:rFonts w:asciiTheme="minorHAnsi" w:hAnsiTheme="minorHAnsi" w:cstheme="minorHAnsi"/>
                <w:b/>
                <w:sz w:val="21"/>
                <w:szCs w:val="21"/>
              </w:rPr>
              <w:t>YES</w:t>
            </w:r>
          </w:p>
          <w:p w14:paraId="50FEEA64" w14:textId="77777777" w:rsidR="00323C44" w:rsidRPr="00C20929" w:rsidRDefault="00323C44" w:rsidP="00C20929">
            <w:pPr>
              <w:pStyle w:val="ListParagraph"/>
              <w:ind w:left="0" w:right="-18"/>
              <w:rPr>
                <w:rFonts w:asciiTheme="minorHAnsi" w:hAnsiTheme="minorHAnsi" w:cstheme="minorHAnsi"/>
                <w:sz w:val="21"/>
                <w:szCs w:val="21"/>
              </w:rPr>
            </w:pPr>
            <w:r w:rsidRPr="00C20929">
              <w:rPr>
                <w:rFonts w:asciiTheme="minorHAnsi" w:hAnsiTheme="minorHAnsi" w:cstheme="minorHAnsi"/>
                <w:sz w:val="21"/>
                <w:szCs w:val="21"/>
              </w:rPr>
              <w:t>Together with details of complaint in writing</w:t>
            </w:r>
          </w:p>
        </w:tc>
      </w:tr>
    </w:tbl>
    <w:p w14:paraId="50FEEA66" w14:textId="77777777" w:rsidR="00323C44" w:rsidRDefault="00323C44" w:rsidP="00323C44">
      <w:pPr>
        <w:pStyle w:val="ListParagraph"/>
        <w:ind w:left="1440" w:firstLine="720"/>
        <w:jc w:val="center"/>
        <w:rPr>
          <w:rFonts w:asciiTheme="minorHAnsi" w:hAnsiTheme="minorHAnsi" w:cstheme="minorHAnsi"/>
          <w:b/>
          <w:sz w:val="28"/>
          <w:szCs w:val="28"/>
        </w:rPr>
      </w:pPr>
    </w:p>
    <w:p w14:paraId="50FEEA67" w14:textId="77777777" w:rsidR="00323C44" w:rsidRPr="00C20929" w:rsidRDefault="00323C44" w:rsidP="005513CE">
      <w:pPr>
        <w:pStyle w:val="ListParagraph"/>
        <w:ind w:left="0"/>
        <w:rPr>
          <w:rFonts w:asciiTheme="minorHAnsi" w:hAnsiTheme="minorHAnsi" w:cstheme="minorHAnsi"/>
          <w:b/>
          <w:color w:val="31849B" w:themeColor="accent5" w:themeShade="BF"/>
          <w:sz w:val="26"/>
          <w:szCs w:val="26"/>
        </w:rPr>
      </w:pPr>
      <w:r w:rsidRPr="00C20929">
        <w:rPr>
          <w:rFonts w:asciiTheme="minorHAnsi" w:hAnsiTheme="minorHAnsi" w:cstheme="minorHAnsi"/>
          <w:b/>
          <w:color w:val="31849B" w:themeColor="accent5" w:themeShade="BF"/>
          <w:sz w:val="26"/>
          <w:szCs w:val="26"/>
        </w:rPr>
        <w:t>Refunds/adjustments will not normally be made when:</w:t>
      </w:r>
    </w:p>
    <w:p w14:paraId="50FEEA68" w14:textId="77777777" w:rsidR="00323C44" w:rsidRPr="00F56022" w:rsidRDefault="00323C44" w:rsidP="00C20929">
      <w:pPr>
        <w:pStyle w:val="ListParagraph"/>
        <w:numPr>
          <w:ilvl w:val="0"/>
          <w:numId w:val="10"/>
        </w:numPr>
        <w:ind w:left="540"/>
        <w:rPr>
          <w:rFonts w:asciiTheme="minorHAnsi" w:hAnsiTheme="minorHAnsi" w:cstheme="minorHAnsi"/>
          <w:sz w:val="22"/>
          <w:szCs w:val="22"/>
        </w:rPr>
      </w:pPr>
      <w:r>
        <w:rPr>
          <w:rFonts w:asciiTheme="minorHAnsi" w:hAnsiTheme="minorHAnsi" w:cstheme="minorHAnsi"/>
          <w:sz w:val="22"/>
          <w:szCs w:val="22"/>
        </w:rPr>
        <w:t xml:space="preserve">Student </w:t>
      </w:r>
      <w:r w:rsidRPr="00F56022">
        <w:rPr>
          <w:rFonts w:asciiTheme="minorHAnsi" w:hAnsiTheme="minorHAnsi" w:cstheme="minorHAnsi"/>
          <w:sz w:val="22"/>
          <w:szCs w:val="22"/>
        </w:rPr>
        <w:t xml:space="preserve">withdraws from course </w:t>
      </w:r>
      <w:r>
        <w:rPr>
          <w:rFonts w:asciiTheme="minorHAnsi" w:hAnsiTheme="minorHAnsi" w:cstheme="minorHAnsi"/>
          <w:sz w:val="22"/>
          <w:szCs w:val="22"/>
        </w:rPr>
        <w:t>for</w:t>
      </w:r>
      <w:r w:rsidRPr="00F56022">
        <w:rPr>
          <w:rFonts w:asciiTheme="minorHAnsi" w:hAnsiTheme="minorHAnsi" w:cstheme="minorHAnsi"/>
          <w:sz w:val="22"/>
          <w:szCs w:val="22"/>
        </w:rPr>
        <w:t xml:space="preserve"> personal </w:t>
      </w:r>
      <w:r>
        <w:rPr>
          <w:rFonts w:asciiTheme="minorHAnsi" w:hAnsiTheme="minorHAnsi" w:cstheme="minorHAnsi"/>
          <w:sz w:val="22"/>
          <w:szCs w:val="22"/>
        </w:rPr>
        <w:t>r</w:t>
      </w:r>
      <w:r w:rsidRPr="00F56022">
        <w:rPr>
          <w:rFonts w:asciiTheme="minorHAnsi" w:hAnsiTheme="minorHAnsi" w:cstheme="minorHAnsi"/>
          <w:sz w:val="22"/>
          <w:szCs w:val="22"/>
        </w:rPr>
        <w:t>e</w:t>
      </w:r>
      <w:r>
        <w:rPr>
          <w:rFonts w:asciiTheme="minorHAnsi" w:hAnsiTheme="minorHAnsi" w:cstheme="minorHAnsi"/>
          <w:sz w:val="22"/>
          <w:szCs w:val="22"/>
        </w:rPr>
        <w:t>asons</w:t>
      </w:r>
      <w:r w:rsidRPr="00F56022">
        <w:rPr>
          <w:rFonts w:asciiTheme="minorHAnsi" w:hAnsiTheme="minorHAnsi" w:cstheme="minorHAnsi"/>
          <w:sz w:val="22"/>
          <w:szCs w:val="22"/>
        </w:rPr>
        <w:t>,</w:t>
      </w:r>
      <w:r>
        <w:rPr>
          <w:rFonts w:asciiTheme="minorHAnsi" w:hAnsiTheme="minorHAnsi" w:cstheme="minorHAnsi"/>
          <w:sz w:val="22"/>
          <w:szCs w:val="22"/>
        </w:rPr>
        <w:t xml:space="preserve"> such as</w:t>
      </w:r>
      <w:r w:rsidRPr="00F56022">
        <w:rPr>
          <w:rFonts w:asciiTheme="minorHAnsi" w:hAnsiTheme="minorHAnsi" w:cstheme="minorHAnsi"/>
          <w:sz w:val="22"/>
          <w:szCs w:val="22"/>
        </w:rPr>
        <w:t xml:space="preserve"> moving house or change of employment</w:t>
      </w:r>
    </w:p>
    <w:p w14:paraId="50FEEA69" w14:textId="77777777" w:rsidR="00323C44" w:rsidRPr="006800BD" w:rsidRDefault="00323C44" w:rsidP="00C20929">
      <w:pPr>
        <w:pStyle w:val="ListParagraph"/>
        <w:numPr>
          <w:ilvl w:val="0"/>
          <w:numId w:val="10"/>
        </w:numPr>
        <w:ind w:left="540"/>
        <w:rPr>
          <w:rFonts w:asciiTheme="minorHAnsi" w:hAnsiTheme="minorHAnsi" w:cstheme="minorHAnsi"/>
          <w:sz w:val="22"/>
          <w:szCs w:val="22"/>
        </w:rPr>
      </w:pPr>
      <w:r>
        <w:rPr>
          <w:rFonts w:asciiTheme="minorHAnsi" w:hAnsiTheme="minorHAnsi" w:cstheme="minorHAnsi"/>
          <w:sz w:val="22"/>
          <w:szCs w:val="22"/>
        </w:rPr>
        <w:t>Student</w:t>
      </w:r>
      <w:r w:rsidRPr="00F56022">
        <w:rPr>
          <w:rFonts w:asciiTheme="minorHAnsi" w:hAnsiTheme="minorHAnsi" w:cstheme="minorHAnsi"/>
          <w:sz w:val="22"/>
          <w:szCs w:val="22"/>
        </w:rPr>
        <w:t xml:space="preserve"> withdraws from course for medical reasons not directl</w:t>
      </w:r>
      <w:r>
        <w:rPr>
          <w:rFonts w:asciiTheme="minorHAnsi" w:hAnsiTheme="minorHAnsi" w:cstheme="minorHAnsi"/>
          <w:sz w:val="22"/>
          <w:szCs w:val="22"/>
        </w:rPr>
        <w:t>y affecting course attendance (</w:t>
      </w:r>
      <w:r w:rsidRPr="00F56022">
        <w:rPr>
          <w:rFonts w:asciiTheme="minorHAnsi" w:hAnsiTheme="minorHAnsi" w:cstheme="minorHAnsi"/>
          <w:sz w:val="22"/>
          <w:szCs w:val="22"/>
        </w:rPr>
        <w:t>in certain situations credit notes may be issued)</w:t>
      </w:r>
    </w:p>
    <w:p w14:paraId="50FEEA6A" w14:textId="77777777" w:rsidR="00323C44" w:rsidRDefault="00323C44" w:rsidP="00323C44">
      <w:pPr>
        <w:pStyle w:val="ListParagraph"/>
        <w:jc w:val="center"/>
        <w:rPr>
          <w:rFonts w:asciiTheme="minorHAnsi" w:hAnsiTheme="minorHAnsi" w:cstheme="minorHAnsi"/>
          <w:b/>
          <w:sz w:val="22"/>
          <w:szCs w:val="22"/>
        </w:rPr>
      </w:pPr>
    </w:p>
    <w:p w14:paraId="50FEEA6B" w14:textId="77777777" w:rsidR="00323C44" w:rsidRPr="00C20929" w:rsidRDefault="00323C44" w:rsidP="005513CE">
      <w:pPr>
        <w:pStyle w:val="ListParagraph"/>
        <w:ind w:left="0"/>
        <w:rPr>
          <w:rFonts w:asciiTheme="minorHAnsi" w:hAnsiTheme="minorHAnsi" w:cstheme="minorHAnsi"/>
          <w:b/>
          <w:color w:val="31849B" w:themeColor="accent5" w:themeShade="BF"/>
          <w:szCs w:val="22"/>
        </w:rPr>
      </w:pPr>
      <w:r w:rsidRPr="00C20929">
        <w:rPr>
          <w:rFonts w:asciiTheme="minorHAnsi" w:hAnsiTheme="minorHAnsi" w:cstheme="minorHAnsi"/>
          <w:b/>
          <w:color w:val="31849B" w:themeColor="accent5" w:themeShade="BF"/>
          <w:szCs w:val="22"/>
        </w:rPr>
        <w:t>Additional information</w:t>
      </w:r>
    </w:p>
    <w:p w14:paraId="50FEEA6C" w14:textId="77777777" w:rsidR="00323C44" w:rsidRPr="00F56022" w:rsidRDefault="00323C44" w:rsidP="00C20929">
      <w:pPr>
        <w:pStyle w:val="ListParagraph"/>
        <w:numPr>
          <w:ilvl w:val="0"/>
          <w:numId w:val="10"/>
        </w:numPr>
        <w:ind w:left="540"/>
        <w:rPr>
          <w:rFonts w:asciiTheme="minorHAnsi" w:hAnsiTheme="minorHAnsi" w:cstheme="minorHAnsi"/>
          <w:sz w:val="22"/>
          <w:szCs w:val="22"/>
        </w:rPr>
      </w:pPr>
      <w:r w:rsidRPr="00F56022">
        <w:rPr>
          <w:rFonts w:asciiTheme="minorHAnsi" w:hAnsiTheme="minorHAnsi" w:cstheme="minorHAnsi"/>
          <w:sz w:val="22"/>
          <w:szCs w:val="22"/>
        </w:rPr>
        <w:t xml:space="preserve">If an application for refund/adjustment is unsuccessful an </w:t>
      </w:r>
      <w:r>
        <w:rPr>
          <w:rFonts w:asciiTheme="minorHAnsi" w:hAnsiTheme="minorHAnsi" w:cstheme="minorHAnsi"/>
          <w:sz w:val="22"/>
          <w:szCs w:val="22"/>
        </w:rPr>
        <w:t>explanatory letter will be sent</w:t>
      </w:r>
    </w:p>
    <w:p w14:paraId="50FEEA6D" w14:textId="5A1B8558" w:rsidR="00323C44" w:rsidRDefault="00323C44" w:rsidP="00C20929">
      <w:pPr>
        <w:pStyle w:val="ListParagraph"/>
        <w:numPr>
          <w:ilvl w:val="0"/>
          <w:numId w:val="10"/>
        </w:numPr>
        <w:ind w:left="540"/>
        <w:rPr>
          <w:rFonts w:asciiTheme="minorHAnsi" w:hAnsiTheme="minorHAnsi" w:cstheme="minorHAnsi"/>
          <w:sz w:val="22"/>
          <w:szCs w:val="22"/>
        </w:rPr>
      </w:pPr>
      <w:r w:rsidRPr="00F56022">
        <w:rPr>
          <w:rFonts w:asciiTheme="minorHAnsi" w:hAnsiTheme="minorHAnsi" w:cstheme="minorHAnsi"/>
          <w:sz w:val="22"/>
          <w:szCs w:val="22"/>
        </w:rPr>
        <w:t>Any appeal against refusal should be made in writing to the College with</w:t>
      </w:r>
      <w:r>
        <w:rPr>
          <w:rFonts w:asciiTheme="minorHAnsi" w:hAnsiTheme="minorHAnsi" w:cstheme="minorHAnsi"/>
          <w:sz w:val="22"/>
          <w:szCs w:val="22"/>
        </w:rPr>
        <w:t>in 2 weeks of receipt of letter</w:t>
      </w:r>
    </w:p>
    <w:p w14:paraId="6CD76D9D" w14:textId="4EA91833" w:rsidR="007D278E" w:rsidRPr="00F56022" w:rsidRDefault="007D278E" w:rsidP="00C20929">
      <w:pPr>
        <w:pStyle w:val="ListParagraph"/>
        <w:numPr>
          <w:ilvl w:val="0"/>
          <w:numId w:val="10"/>
        </w:numPr>
        <w:ind w:left="540"/>
        <w:rPr>
          <w:rFonts w:asciiTheme="minorHAnsi" w:hAnsiTheme="minorHAnsi" w:cstheme="minorHAnsi"/>
          <w:sz w:val="22"/>
          <w:szCs w:val="22"/>
        </w:rPr>
      </w:pPr>
      <w:r>
        <w:rPr>
          <w:rFonts w:asciiTheme="minorHAnsi" w:hAnsiTheme="minorHAnsi" w:cstheme="minorHAnsi"/>
          <w:sz w:val="22"/>
          <w:szCs w:val="22"/>
        </w:rPr>
        <w:t>The College will monitor and assess the impact of material difference in the delivery methodology in relation to value for money</w:t>
      </w:r>
    </w:p>
    <w:p w14:paraId="50FEEA6E" w14:textId="77777777" w:rsidR="00375BA3" w:rsidRPr="00375BA3" w:rsidRDefault="00375BA3" w:rsidP="00DB184D">
      <w:pPr>
        <w:jc w:val="both"/>
        <w:rPr>
          <w:rFonts w:ascii="Calibri" w:hAnsi="Calibri" w:cs="Calibri"/>
          <w:bCs/>
          <w:szCs w:val="22"/>
        </w:rPr>
      </w:pPr>
    </w:p>
    <w:p w14:paraId="56AEF66E" w14:textId="77777777" w:rsidR="003D5DE4" w:rsidRDefault="003D5DE4" w:rsidP="00E12EF5">
      <w:pPr>
        <w:jc w:val="both"/>
        <w:rPr>
          <w:rFonts w:asciiTheme="minorHAnsi" w:hAnsiTheme="minorHAnsi" w:cstheme="minorHAnsi"/>
          <w:b/>
          <w:color w:val="31849B" w:themeColor="accent5" w:themeShade="BF"/>
          <w:sz w:val="28"/>
          <w:szCs w:val="22"/>
        </w:rPr>
      </w:pPr>
    </w:p>
    <w:p w14:paraId="57968B02" w14:textId="77777777" w:rsidR="003D5DE4" w:rsidRDefault="003D5DE4" w:rsidP="00E12EF5">
      <w:pPr>
        <w:jc w:val="both"/>
        <w:rPr>
          <w:rFonts w:asciiTheme="minorHAnsi" w:hAnsiTheme="minorHAnsi" w:cstheme="minorHAnsi"/>
          <w:b/>
          <w:color w:val="31849B" w:themeColor="accent5" w:themeShade="BF"/>
          <w:sz w:val="28"/>
          <w:szCs w:val="22"/>
        </w:rPr>
      </w:pPr>
    </w:p>
    <w:p w14:paraId="50FEEA6F" w14:textId="0F754E42" w:rsidR="00231B4B" w:rsidRDefault="005513CE" w:rsidP="00E12EF5">
      <w:pPr>
        <w:jc w:val="both"/>
        <w:rPr>
          <w:rFonts w:asciiTheme="minorHAnsi" w:hAnsiTheme="minorHAnsi" w:cstheme="minorHAnsi"/>
          <w:b/>
          <w:color w:val="31849B" w:themeColor="accent5" w:themeShade="BF"/>
          <w:sz w:val="28"/>
          <w:szCs w:val="22"/>
        </w:rPr>
      </w:pPr>
      <w:r w:rsidRPr="001F7E0E">
        <w:rPr>
          <w:rFonts w:asciiTheme="minorHAnsi" w:hAnsiTheme="minorHAnsi" w:cstheme="minorHAnsi"/>
          <w:b/>
          <w:color w:val="31849B" w:themeColor="accent5" w:themeShade="BF"/>
          <w:sz w:val="28"/>
          <w:szCs w:val="22"/>
        </w:rPr>
        <w:t>Appendix 2</w:t>
      </w:r>
    </w:p>
    <w:p w14:paraId="50FEEA70" w14:textId="77777777" w:rsidR="001F7E0E" w:rsidRPr="001F7E0E" w:rsidRDefault="001F7E0E" w:rsidP="00E12EF5">
      <w:pPr>
        <w:jc w:val="both"/>
        <w:rPr>
          <w:rFonts w:asciiTheme="minorHAnsi" w:hAnsiTheme="minorHAnsi" w:cstheme="minorHAnsi"/>
          <w:b/>
          <w:color w:val="31849B" w:themeColor="accent5" w:themeShade="BF"/>
          <w:sz w:val="28"/>
          <w:szCs w:val="22"/>
        </w:rPr>
      </w:pPr>
    </w:p>
    <w:p w14:paraId="50FEEA71" w14:textId="77777777" w:rsidR="001F7E0E" w:rsidRPr="00125FA6" w:rsidRDefault="001F7E0E" w:rsidP="001F7E0E">
      <w:pPr>
        <w:rPr>
          <w:rFonts w:asciiTheme="minorHAnsi" w:hAnsiTheme="minorHAnsi" w:cstheme="minorHAnsi"/>
          <w:b/>
          <w:color w:val="31849B" w:themeColor="accent5" w:themeShade="BF"/>
          <w:sz w:val="28"/>
          <w:szCs w:val="22"/>
        </w:rPr>
      </w:pPr>
      <w:r w:rsidRPr="00125FA6">
        <w:rPr>
          <w:rFonts w:asciiTheme="minorHAnsi" w:hAnsiTheme="minorHAnsi" w:cstheme="minorHAnsi"/>
          <w:b/>
          <w:color w:val="31849B" w:themeColor="accent5" w:themeShade="BF"/>
          <w:sz w:val="28"/>
          <w:szCs w:val="22"/>
        </w:rPr>
        <w:t>Oaklands Refund Policy ESOL-EFL</w:t>
      </w:r>
    </w:p>
    <w:p w14:paraId="50FEEA72" w14:textId="77777777" w:rsidR="001F7E0E" w:rsidRDefault="001F7E0E" w:rsidP="001F7E0E">
      <w:pPr>
        <w:rPr>
          <w:rFonts w:asciiTheme="minorHAnsi" w:hAnsiTheme="minorHAnsi" w:cstheme="minorHAnsi"/>
          <w:szCs w:val="22"/>
        </w:rPr>
      </w:pPr>
    </w:p>
    <w:p w14:paraId="50FEEA73" w14:textId="3B7D9589" w:rsidR="001F7E0E" w:rsidRDefault="001F7E0E" w:rsidP="001F7E0E">
      <w:pPr>
        <w:rPr>
          <w:rFonts w:asciiTheme="minorHAnsi" w:hAnsiTheme="minorHAnsi" w:cstheme="minorHAnsi"/>
          <w:szCs w:val="22"/>
        </w:rPr>
      </w:pPr>
      <w:r w:rsidRPr="001F7E0E">
        <w:rPr>
          <w:rFonts w:asciiTheme="minorHAnsi" w:hAnsiTheme="minorHAnsi" w:cstheme="minorHAnsi"/>
          <w:szCs w:val="22"/>
        </w:rPr>
        <w:t>Courses offered by Oaklands assume that all students who start a course will finish it. The cost of the course is calculated on this basis. Consequently, the college does not expect to offer refunds except in exceptional circumstances.</w:t>
      </w:r>
    </w:p>
    <w:p w14:paraId="5BDE7F3C" w14:textId="77777777" w:rsidR="00CA63C8" w:rsidRPr="001F7E0E" w:rsidRDefault="00CA63C8" w:rsidP="001F7E0E">
      <w:pPr>
        <w:rPr>
          <w:rFonts w:asciiTheme="minorHAnsi" w:hAnsiTheme="minorHAnsi" w:cstheme="minorHAnsi"/>
          <w:szCs w:val="22"/>
        </w:rPr>
      </w:pPr>
    </w:p>
    <w:p w14:paraId="50FEEA74" w14:textId="77777777" w:rsidR="001F7E0E" w:rsidRDefault="001F7E0E" w:rsidP="001F7E0E">
      <w:pPr>
        <w:rPr>
          <w:rFonts w:asciiTheme="minorHAnsi" w:hAnsiTheme="minorHAnsi" w:cstheme="minorHAnsi"/>
          <w:szCs w:val="22"/>
        </w:rPr>
      </w:pPr>
      <w:r w:rsidRPr="001F7E0E">
        <w:rPr>
          <w:rFonts w:asciiTheme="minorHAnsi" w:hAnsiTheme="minorHAnsi" w:cstheme="minorHAnsi"/>
          <w:szCs w:val="22"/>
        </w:rPr>
        <w:t>You will be able to request a refund in the following situations:</w:t>
      </w:r>
    </w:p>
    <w:p w14:paraId="50FEEA75" w14:textId="77777777" w:rsidR="001F7E0E" w:rsidRPr="001F7E0E" w:rsidRDefault="001F7E0E" w:rsidP="001F7E0E">
      <w:pPr>
        <w:rPr>
          <w:rFonts w:asciiTheme="minorHAnsi" w:hAnsiTheme="minorHAnsi" w:cstheme="minorHAnsi"/>
          <w:szCs w:val="22"/>
        </w:rPr>
      </w:pPr>
    </w:p>
    <w:p w14:paraId="50FEEA76" w14:textId="77777777" w:rsidR="001F7E0E" w:rsidRPr="001F7E0E" w:rsidRDefault="001F7E0E" w:rsidP="001F7E0E">
      <w:pPr>
        <w:pStyle w:val="ListParagraph"/>
        <w:numPr>
          <w:ilvl w:val="0"/>
          <w:numId w:val="11"/>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Course cancellation</w:t>
      </w:r>
    </w:p>
    <w:p w14:paraId="50FEEA77" w14:textId="5EB39CB7" w:rsidR="001F7E0E" w:rsidRPr="001F7E0E" w:rsidRDefault="001F7E0E" w:rsidP="001F7E0E">
      <w:pPr>
        <w:pStyle w:val="ListParagraph"/>
        <w:numPr>
          <w:ilvl w:val="0"/>
          <w:numId w:val="11"/>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 xml:space="preserve">Unsuitability of the course – tutor evidence provided </w:t>
      </w:r>
      <w:r w:rsidRPr="001F7E0E">
        <w:rPr>
          <w:rFonts w:asciiTheme="minorHAnsi" w:hAnsiTheme="minorHAnsi" w:cstheme="minorHAnsi"/>
          <w:b/>
          <w:sz w:val="22"/>
          <w:szCs w:val="22"/>
        </w:rPr>
        <w:t>within 2 weeks</w:t>
      </w:r>
      <w:r w:rsidRPr="001F7E0E">
        <w:rPr>
          <w:rFonts w:asciiTheme="minorHAnsi" w:hAnsiTheme="minorHAnsi" w:cstheme="minorHAnsi"/>
          <w:sz w:val="22"/>
          <w:szCs w:val="22"/>
        </w:rPr>
        <w:t xml:space="preserve"> of starting the course. </w:t>
      </w:r>
      <w:r w:rsidRPr="001F7E0E">
        <w:rPr>
          <w:rFonts w:asciiTheme="minorHAnsi" w:hAnsiTheme="minorHAnsi" w:cstheme="minorHAnsi"/>
          <w:b/>
          <w:sz w:val="22"/>
          <w:szCs w:val="22"/>
        </w:rPr>
        <w:t>This includes dissatisfaction with the course in any way and is subject to investigation by the Head of Department</w:t>
      </w:r>
    </w:p>
    <w:p w14:paraId="50FEEA78" w14:textId="70FCB4C8" w:rsidR="001F7E0E" w:rsidRPr="001F7E0E" w:rsidRDefault="00CA63C8" w:rsidP="001F7E0E">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Serious i</w:t>
      </w:r>
      <w:r w:rsidR="001F7E0E" w:rsidRPr="001F7E0E">
        <w:rPr>
          <w:rFonts w:asciiTheme="minorHAnsi" w:hAnsiTheme="minorHAnsi" w:cstheme="minorHAnsi"/>
          <w:sz w:val="22"/>
          <w:szCs w:val="22"/>
        </w:rPr>
        <w:t>llness - medical evidence provided e.g. a signed letter in English from a GP or Doctor</w:t>
      </w:r>
    </w:p>
    <w:p w14:paraId="50FEEA79" w14:textId="7F839C9C" w:rsidR="001F7E0E" w:rsidRPr="001F7E0E" w:rsidRDefault="00CA63C8" w:rsidP="001F7E0E">
      <w:pPr>
        <w:pStyle w:val="ListParagraph"/>
        <w:numPr>
          <w:ilvl w:val="0"/>
          <w:numId w:val="11"/>
        </w:numPr>
        <w:spacing w:after="200" w:line="276" w:lineRule="auto"/>
        <w:rPr>
          <w:rFonts w:asciiTheme="minorHAnsi" w:hAnsiTheme="minorHAnsi" w:cstheme="minorHAnsi"/>
          <w:sz w:val="22"/>
          <w:szCs w:val="22"/>
        </w:rPr>
      </w:pPr>
      <w:r>
        <w:rPr>
          <w:rFonts w:asciiTheme="minorHAnsi" w:hAnsiTheme="minorHAnsi" w:cstheme="minorHAnsi"/>
          <w:sz w:val="22"/>
          <w:szCs w:val="22"/>
        </w:rPr>
        <w:t>Serious i</w:t>
      </w:r>
      <w:r w:rsidR="001F7E0E" w:rsidRPr="001F7E0E">
        <w:rPr>
          <w:rFonts w:asciiTheme="minorHAnsi" w:hAnsiTheme="minorHAnsi" w:cstheme="minorHAnsi"/>
          <w:sz w:val="22"/>
          <w:szCs w:val="22"/>
        </w:rPr>
        <w:t xml:space="preserve">llness/death of a family member whether in UK or abroad - medical evidence provided e.g. a signed letter in English from a GP or Doctor </w:t>
      </w:r>
    </w:p>
    <w:p w14:paraId="50FEEA7A" w14:textId="0913E9AC" w:rsidR="001F7E0E" w:rsidRPr="001F7E0E" w:rsidRDefault="001F7E0E" w:rsidP="001F7E0E">
      <w:pPr>
        <w:pStyle w:val="ListParagraph"/>
        <w:numPr>
          <w:ilvl w:val="0"/>
          <w:numId w:val="11"/>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Caring responsibilities whether in UK or abroad– evidence provided e.g. a signed lett</w:t>
      </w:r>
      <w:r w:rsidR="00CA63C8">
        <w:rPr>
          <w:rFonts w:asciiTheme="minorHAnsi" w:hAnsiTheme="minorHAnsi" w:cstheme="minorHAnsi"/>
          <w:sz w:val="22"/>
          <w:szCs w:val="22"/>
        </w:rPr>
        <w:t>er in English from GP or Doctor. This must be a direct family member who did not need caring prior to the start of the course at Oaklands College.</w:t>
      </w:r>
    </w:p>
    <w:p w14:paraId="50FEEA7B" w14:textId="59AED2CB" w:rsidR="001F7E0E" w:rsidRDefault="001F7E0E" w:rsidP="001F7E0E">
      <w:pPr>
        <w:rPr>
          <w:rFonts w:asciiTheme="minorHAnsi" w:hAnsiTheme="minorHAnsi" w:cstheme="minorHAnsi"/>
          <w:szCs w:val="22"/>
        </w:rPr>
      </w:pPr>
      <w:r w:rsidRPr="001F7E0E">
        <w:rPr>
          <w:rFonts w:asciiTheme="minorHAnsi" w:hAnsiTheme="minorHAnsi" w:cstheme="minorHAnsi"/>
          <w:szCs w:val="22"/>
        </w:rPr>
        <w:t xml:space="preserve">You will </w:t>
      </w:r>
      <w:r w:rsidR="00CA63C8" w:rsidRPr="00CA63C8">
        <w:rPr>
          <w:rFonts w:asciiTheme="minorHAnsi" w:hAnsiTheme="minorHAnsi" w:cstheme="minorHAnsi"/>
          <w:b/>
          <w:szCs w:val="22"/>
        </w:rPr>
        <w:t>NOT</w:t>
      </w:r>
      <w:r w:rsidRPr="001F7E0E">
        <w:rPr>
          <w:rFonts w:asciiTheme="minorHAnsi" w:hAnsiTheme="minorHAnsi" w:cstheme="minorHAnsi"/>
          <w:szCs w:val="22"/>
        </w:rPr>
        <w:t xml:space="preserve"> be able to request a refund in the following situations:</w:t>
      </w:r>
    </w:p>
    <w:p w14:paraId="50FEEA7C" w14:textId="77777777" w:rsidR="001F7E0E" w:rsidRPr="001F7E0E" w:rsidRDefault="001F7E0E" w:rsidP="001F7E0E">
      <w:pPr>
        <w:rPr>
          <w:rFonts w:asciiTheme="minorHAnsi" w:hAnsiTheme="minorHAnsi" w:cstheme="minorHAnsi"/>
          <w:szCs w:val="22"/>
        </w:rPr>
      </w:pPr>
    </w:p>
    <w:p w14:paraId="7D4C71F7" w14:textId="32CD5E43" w:rsidR="00CA63C8" w:rsidRDefault="00CA63C8" w:rsidP="001F7E0E">
      <w:pPr>
        <w:pStyle w:val="ListParagraph"/>
        <w:numPr>
          <w:ilvl w:val="0"/>
          <w:numId w:val="12"/>
        </w:numPr>
        <w:spacing w:after="200" w:line="276" w:lineRule="auto"/>
        <w:rPr>
          <w:rFonts w:asciiTheme="minorHAnsi" w:hAnsiTheme="minorHAnsi" w:cstheme="minorHAnsi"/>
          <w:sz w:val="22"/>
          <w:szCs w:val="22"/>
        </w:rPr>
      </w:pPr>
      <w:r>
        <w:rPr>
          <w:rFonts w:asciiTheme="minorHAnsi" w:hAnsiTheme="minorHAnsi" w:cstheme="minorHAnsi"/>
          <w:sz w:val="22"/>
          <w:szCs w:val="22"/>
        </w:rPr>
        <w:t>Start of a new job</w:t>
      </w:r>
    </w:p>
    <w:p w14:paraId="50FEEA7D" w14:textId="31D96D8C" w:rsidR="001F7E0E" w:rsidRPr="001F7E0E" w:rsidRDefault="001F7E0E" w:rsidP="001F7E0E">
      <w:pPr>
        <w:pStyle w:val="ListParagraph"/>
        <w:numPr>
          <w:ilvl w:val="0"/>
          <w:numId w:val="12"/>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Change of job</w:t>
      </w:r>
    </w:p>
    <w:p w14:paraId="50FEEA7E" w14:textId="77777777" w:rsidR="001F7E0E" w:rsidRPr="001F7E0E" w:rsidRDefault="001F7E0E" w:rsidP="001F7E0E">
      <w:pPr>
        <w:pStyle w:val="ListParagraph"/>
        <w:numPr>
          <w:ilvl w:val="0"/>
          <w:numId w:val="12"/>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 xml:space="preserve">Change of shift in a job </w:t>
      </w:r>
    </w:p>
    <w:p w14:paraId="50FEEA7F" w14:textId="77777777" w:rsidR="001F7E0E" w:rsidRPr="001F7E0E" w:rsidRDefault="001F7E0E" w:rsidP="001F7E0E">
      <w:pPr>
        <w:pStyle w:val="ListParagraph"/>
        <w:numPr>
          <w:ilvl w:val="0"/>
          <w:numId w:val="12"/>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Loss of job</w:t>
      </w:r>
    </w:p>
    <w:p w14:paraId="50FEEA80" w14:textId="77777777" w:rsidR="001F7E0E" w:rsidRPr="001F7E0E" w:rsidRDefault="001F7E0E" w:rsidP="001F7E0E">
      <w:pPr>
        <w:pStyle w:val="ListParagraph"/>
        <w:numPr>
          <w:ilvl w:val="0"/>
          <w:numId w:val="12"/>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Moving from the area</w:t>
      </w:r>
    </w:p>
    <w:p w14:paraId="50FEEA81" w14:textId="77777777" w:rsidR="001F7E0E" w:rsidRPr="001F7E0E" w:rsidRDefault="001F7E0E" w:rsidP="001F7E0E">
      <w:pPr>
        <w:pStyle w:val="ListParagraph"/>
        <w:numPr>
          <w:ilvl w:val="0"/>
          <w:numId w:val="12"/>
        </w:numPr>
        <w:spacing w:after="200" w:line="276" w:lineRule="auto"/>
        <w:rPr>
          <w:rFonts w:asciiTheme="minorHAnsi" w:hAnsiTheme="minorHAnsi" w:cstheme="minorHAnsi"/>
          <w:sz w:val="22"/>
          <w:szCs w:val="22"/>
        </w:rPr>
      </w:pPr>
      <w:r w:rsidRPr="001F7E0E">
        <w:rPr>
          <w:rFonts w:asciiTheme="minorHAnsi" w:hAnsiTheme="minorHAnsi" w:cstheme="minorHAnsi"/>
          <w:sz w:val="22"/>
          <w:szCs w:val="22"/>
        </w:rPr>
        <w:t>Pregnancy</w:t>
      </w:r>
    </w:p>
    <w:p w14:paraId="50FEEA83" w14:textId="3B7736B3" w:rsidR="001F7E0E" w:rsidRDefault="001F7E0E" w:rsidP="001F7E0E">
      <w:pPr>
        <w:rPr>
          <w:rFonts w:asciiTheme="minorHAnsi" w:hAnsiTheme="minorHAnsi" w:cstheme="minorHAnsi"/>
          <w:szCs w:val="22"/>
        </w:rPr>
      </w:pPr>
      <w:r w:rsidRPr="001F7E0E">
        <w:rPr>
          <w:rFonts w:asciiTheme="minorHAnsi" w:hAnsiTheme="minorHAnsi" w:cstheme="minorHAnsi"/>
          <w:szCs w:val="22"/>
        </w:rPr>
        <w:t>Refunds will be at the discretion of the Head of Department/</w:t>
      </w:r>
      <w:r w:rsidR="00CA63C8">
        <w:rPr>
          <w:rFonts w:asciiTheme="minorHAnsi" w:hAnsiTheme="minorHAnsi" w:cstheme="minorHAnsi"/>
          <w:szCs w:val="22"/>
        </w:rPr>
        <w:t xml:space="preserve">Finance </w:t>
      </w:r>
      <w:r w:rsidRPr="001F7E0E">
        <w:rPr>
          <w:rFonts w:asciiTheme="minorHAnsi" w:hAnsiTheme="minorHAnsi" w:cstheme="minorHAnsi"/>
          <w:szCs w:val="22"/>
        </w:rPr>
        <w:t>Director. Achievement of in year exams will be taken into consideration.</w:t>
      </w:r>
    </w:p>
    <w:p w14:paraId="50FEEA84" w14:textId="77777777" w:rsidR="001F7E0E" w:rsidRPr="001F7E0E" w:rsidRDefault="001F7E0E" w:rsidP="001F7E0E">
      <w:pPr>
        <w:rPr>
          <w:rFonts w:asciiTheme="minorHAnsi" w:hAnsiTheme="minorHAnsi" w:cstheme="minorHAnsi"/>
          <w:szCs w:val="22"/>
        </w:rPr>
      </w:pPr>
    </w:p>
    <w:p w14:paraId="50FEEA89" w14:textId="4D90B2CD" w:rsidR="00FF35A5" w:rsidRDefault="00CA63C8" w:rsidP="00CA63C8">
      <w:pPr>
        <w:rPr>
          <w:rFonts w:asciiTheme="minorHAnsi" w:hAnsiTheme="minorHAnsi" w:cstheme="minorHAnsi"/>
          <w:szCs w:val="22"/>
        </w:rPr>
      </w:pPr>
      <w:r>
        <w:rPr>
          <w:rFonts w:asciiTheme="minorHAnsi" w:hAnsiTheme="minorHAnsi" w:cstheme="minorHAnsi"/>
          <w:szCs w:val="22"/>
        </w:rPr>
        <w:t>Refund forms must be completed and returned to The Finance Office within 4 weeks of leaving the course, after this date your refund will not be considered.</w:t>
      </w:r>
    </w:p>
    <w:p w14:paraId="43284262" w14:textId="77777777" w:rsidR="00FF35A5" w:rsidRDefault="00FF35A5">
      <w:pPr>
        <w:rPr>
          <w:rFonts w:asciiTheme="minorHAnsi" w:hAnsiTheme="minorHAnsi" w:cstheme="minorHAnsi"/>
          <w:szCs w:val="22"/>
        </w:rPr>
      </w:pPr>
      <w:r>
        <w:rPr>
          <w:rFonts w:asciiTheme="minorHAnsi" w:hAnsiTheme="minorHAnsi" w:cstheme="minorHAnsi"/>
          <w:szCs w:val="22"/>
        </w:rPr>
        <w:br w:type="page"/>
      </w:r>
    </w:p>
    <w:p w14:paraId="35D1D2CC" w14:textId="313C95F6" w:rsidR="005513CE" w:rsidRPr="00EA0E31" w:rsidRDefault="00FF35A5" w:rsidP="00EA0E31">
      <w:pPr>
        <w:jc w:val="both"/>
        <w:rPr>
          <w:rFonts w:asciiTheme="minorHAnsi" w:hAnsiTheme="minorHAnsi" w:cstheme="minorHAnsi"/>
          <w:b/>
          <w:color w:val="31849B" w:themeColor="accent5" w:themeShade="BF"/>
          <w:sz w:val="28"/>
          <w:szCs w:val="22"/>
        </w:rPr>
      </w:pPr>
      <w:r w:rsidRPr="00EA0E31">
        <w:rPr>
          <w:rFonts w:asciiTheme="minorHAnsi" w:hAnsiTheme="minorHAnsi" w:cstheme="minorHAnsi"/>
          <w:b/>
          <w:color w:val="31849B" w:themeColor="accent5" w:themeShade="BF"/>
          <w:sz w:val="28"/>
          <w:szCs w:val="22"/>
        </w:rPr>
        <w:t>Appendix 3</w:t>
      </w:r>
    </w:p>
    <w:p w14:paraId="7C51D5F4" w14:textId="3B3F77E6" w:rsidR="00FF35A5" w:rsidRPr="000D4C92" w:rsidRDefault="00FF35A5" w:rsidP="00CA63C8">
      <w:pPr>
        <w:rPr>
          <w:rFonts w:asciiTheme="minorHAnsi" w:hAnsiTheme="minorHAnsi" w:cstheme="minorHAnsi"/>
          <w:color w:val="FF0000"/>
          <w:szCs w:val="22"/>
        </w:rPr>
      </w:pPr>
    </w:p>
    <w:p w14:paraId="0CE79025" w14:textId="3E1A8616" w:rsidR="00FF35A5" w:rsidRPr="002D44C0" w:rsidRDefault="00FF35A5" w:rsidP="00CA63C8">
      <w:pPr>
        <w:rPr>
          <w:rFonts w:asciiTheme="minorHAnsi" w:hAnsiTheme="minorHAnsi" w:cstheme="minorHAnsi"/>
          <w:b/>
          <w:color w:val="31849B" w:themeColor="accent5" w:themeShade="BF"/>
          <w:sz w:val="28"/>
          <w:szCs w:val="22"/>
        </w:rPr>
      </w:pPr>
      <w:r w:rsidRPr="002D44C0">
        <w:rPr>
          <w:rFonts w:asciiTheme="minorHAnsi" w:hAnsiTheme="minorHAnsi" w:cstheme="minorHAnsi"/>
          <w:b/>
          <w:color w:val="31849B" w:themeColor="accent5" w:themeShade="BF"/>
          <w:sz w:val="28"/>
          <w:szCs w:val="22"/>
        </w:rPr>
        <w:t xml:space="preserve">Refunds </w:t>
      </w:r>
      <w:r w:rsidR="002E11AA" w:rsidRPr="002D44C0">
        <w:rPr>
          <w:rFonts w:asciiTheme="minorHAnsi" w:hAnsiTheme="minorHAnsi" w:cstheme="minorHAnsi"/>
          <w:b/>
          <w:color w:val="31849B" w:themeColor="accent5" w:themeShade="BF"/>
          <w:sz w:val="28"/>
          <w:szCs w:val="22"/>
        </w:rPr>
        <w:t xml:space="preserve">Policy </w:t>
      </w:r>
      <w:r w:rsidRPr="002D44C0">
        <w:rPr>
          <w:rFonts w:asciiTheme="minorHAnsi" w:hAnsiTheme="minorHAnsi" w:cstheme="minorHAnsi"/>
          <w:b/>
          <w:color w:val="31849B" w:themeColor="accent5" w:themeShade="BF"/>
          <w:sz w:val="28"/>
          <w:szCs w:val="22"/>
        </w:rPr>
        <w:t xml:space="preserve">for Higher Education Courses </w:t>
      </w:r>
    </w:p>
    <w:p w14:paraId="4339110C" w14:textId="61DBEC70" w:rsidR="00FF35A5" w:rsidRPr="000D4C92" w:rsidRDefault="00FF35A5" w:rsidP="00CA63C8">
      <w:pPr>
        <w:rPr>
          <w:rFonts w:asciiTheme="minorHAnsi" w:hAnsiTheme="minorHAnsi" w:cstheme="minorHAnsi"/>
          <w:color w:val="FF0000"/>
          <w:szCs w:val="22"/>
        </w:rPr>
      </w:pPr>
    </w:p>
    <w:p w14:paraId="431523EC" w14:textId="71FD072C" w:rsidR="000D4C92" w:rsidRPr="006F1FA8" w:rsidRDefault="002D44C0" w:rsidP="00CA63C8">
      <w:pPr>
        <w:rPr>
          <w:rFonts w:asciiTheme="minorHAnsi" w:hAnsiTheme="minorHAnsi" w:cstheme="minorHAnsi"/>
          <w:szCs w:val="22"/>
        </w:rPr>
      </w:pPr>
      <w:r w:rsidRPr="006F1FA8">
        <w:rPr>
          <w:rFonts w:asciiTheme="minorHAnsi" w:hAnsiTheme="minorHAnsi" w:cstheme="minorHAnsi"/>
          <w:szCs w:val="22"/>
        </w:rPr>
        <w:t>Students will be liable for their tuition fees for the entire year of study unless they formally notify the College</w:t>
      </w:r>
      <w:r w:rsidR="00C4720C" w:rsidRPr="006F1FA8">
        <w:rPr>
          <w:rFonts w:asciiTheme="minorHAnsi" w:hAnsiTheme="minorHAnsi" w:cstheme="minorHAnsi"/>
          <w:szCs w:val="22"/>
        </w:rPr>
        <w:t xml:space="preserve"> (</w:t>
      </w:r>
      <w:r w:rsidR="00E34519">
        <w:rPr>
          <w:rFonts w:asciiTheme="minorHAnsi" w:hAnsiTheme="minorHAnsi" w:cstheme="minorHAnsi"/>
          <w:szCs w:val="22"/>
        </w:rPr>
        <w:t xml:space="preserve">by sending an email to the programme manager and HE co </w:t>
      </w:r>
      <w:r w:rsidR="00B03384">
        <w:rPr>
          <w:rFonts w:asciiTheme="minorHAnsi" w:hAnsiTheme="minorHAnsi" w:cstheme="minorHAnsi"/>
          <w:szCs w:val="22"/>
        </w:rPr>
        <w:t>Ordinator</w:t>
      </w:r>
      <w:r w:rsidR="00C4720C" w:rsidRPr="006F1FA8">
        <w:rPr>
          <w:rFonts w:asciiTheme="minorHAnsi" w:hAnsiTheme="minorHAnsi" w:cstheme="minorHAnsi"/>
          <w:szCs w:val="22"/>
        </w:rPr>
        <w:t>)</w:t>
      </w:r>
      <w:r w:rsidRPr="006F1FA8">
        <w:rPr>
          <w:rFonts w:asciiTheme="minorHAnsi" w:hAnsiTheme="minorHAnsi" w:cstheme="minorHAnsi"/>
          <w:szCs w:val="22"/>
        </w:rPr>
        <w:t xml:space="preserve"> that they wish to withdraw, defer, or apply for a suspension of their studies. </w:t>
      </w:r>
    </w:p>
    <w:p w14:paraId="3ED46D49" w14:textId="77777777" w:rsidR="000D4C92" w:rsidRPr="006F1FA8" w:rsidRDefault="000D4C92" w:rsidP="00CA63C8">
      <w:pPr>
        <w:rPr>
          <w:rFonts w:asciiTheme="minorHAnsi" w:hAnsiTheme="minorHAnsi" w:cstheme="minorHAnsi"/>
          <w:szCs w:val="22"/>
        </w:rPr>
      </w:pPr>
    </w:p>
    <w:p w14:paraId="1E299082" w14:textId="77777777" w:rsidR="000D4C92" w:rsidRPr="006F1FA8" w:rsidRDefault="00FF35A5" w:rsidP="00CA63C8">
      <w:pPr>
        <w:rPr>
          <w:rFonts w:asciiTheme="minorHAnsi" w:hAnsiTheme="minorHAnsi" w:cstheme="minorHAnsi"/>
          <w:szCs w:val="22"/>
        </w:rPr>
      </w:pPr>
      <w:r w:rsidRPr="006F1FA8">
        <w:rPr>
          <w:rFonts w:asciiTheme="minorHAnsi" w:hAnsiTheme="minorHAnsi" w:cstheme="minorHAnsi"/>
          <w:szCs w:val="22"/>
        </w:rPr>
        <w:t xml:space="preserve">The student may claim a fee refund, if they have paid a fee greater than the revised fee applicable on the withdrawal date. </w:t>
      </w:r>
    </w:p>
    <w:p w14:paraId="720479EA" w14:textId="77777777" w:rsidR="000D4C92" w:rsidRPr="006F1FA8" w:rsidRDefault="000D4C92" w:rsidP="00CA63C8">
      <w:pPr>
        <w:rPr>
          <w:rFonts w:asciiTheme="minorHAnsi" w:hAnsiTheme="minorHAnsi" w:cstheme="minorHAnsi"/>
          <w:szCs w:val="22"/>
        </w:rPr>
      </w:pPr>
    </w:p>
    <w:p w14:paraId="75776C9B" w14:textId="32F9A91D" w:rsidR="000D4C92" w:rsidRPr="006F1FA8" w:rsidRDefault="000D4C92" w:rsidP="00CA63C8">
      <w:pPr>
        <w:rPr>
          <w:rFonts w:asciiTheme="minorHAnsi" w:hAnsiTheme="minorHAnsi" w:cstheme="minorHAnsi"/>
          <w:szCs w:val="22"/>
        </w:rPr>
      </w:pPr>
      <w:r w:rsidRPr="006F1FA8">
        <w:rPr>
          <w:rFonts w:asciiTheme="minorHAnsi" w:hAnsiTheme="minorHAnsi" w:cstheme="minorHAnsi"/>
          <w:szCs w:val="22"/>
        </w:rPr>
        <w:t>The College</w:t>
      </w:r>
      <w:r w:rsidR="00FF35A5" w:rsidRPr="006F1FA8">
        <w:rPr>
          <w:rFonts w:asciiTheme="minorHAnsi" w:hAnsiTheme="minorHAnsi" w:cstheme="minorHAnsi"/>
          <w:szCs w:val="22"/>
        </w:rPr>
        <w:t xml:space="preserve">, at its discretion, </w:t>
      </w:r>
      <w:r w:rsidR="00C7495A" w:rsidRPr="006F1FA8">
        <w:rPr>
          <w:rFonts w:asciiTheme="minorHAnsi" w:hAnsiTheme="minorHAnsi" w:cstheme="minorHAnsi"/>
          <w:szCs w:val="22"/>
        </w:rPr>
        <w:t xml:space="preserve">may </w:t>
      </w:r>
      <w:r w:rsidR="00FF35A5" w:rsidRPr="006F1FA8">
        <w:rPr>
          <w:rFonts w:asciiTheme="minorHAnsi" w:hAnsiTheme="minorHAnsi" w:cstheme="minorHAnsi"/>
          <w:szCs w:val="22"/>
        </w:rPr>
        <w:t xml:space="preserve">refuse a fee refund if the student uses any other method of notifying withdrawal. </w:t>
      </w:r>
    </w:p>
    <w:p w14:paraId="3D2C7C42" w14:textId="77777777" w:rsidR="000D4C92" w:rsidRPr="006F1FA8" w:rsidRDefault="000D4C92" w:rsidP="00CA63C8">
      <w:pPr>
        <w:rPr>
          <w:rFonts w:asciiTheme="minorHAnsi" w:hAnsiTheme="minorHAnsi" w:cstheme="minorHAnsi"/>
          <w:szCs w:val="22"/>
        </w:rPr>
      </w:pPr>
    </w:p>
    <w:p w14:paraId="11BB1F3E" w14:textId="0B6491F7" w:rsidR="000D4C92" w:rsidRPr="006F1FA8" w:rsidRDefault="00FF35A5" w:rsidP="000D4C92">
      <w:pPr>
        <w:rPr>
          <w:rFonts w:asciiTheme="minorHAnsi" w:hAnsiTheme="minorHAnsi" w:cstheme="minorHAnsi"/>
          <w:szCs w:val="22"/>
        </w:rPr>
      </w:pPr>
      <w:r w:rsidRPr="006F1FA8">
        <w:rPr>
          <w:rFonts w:asciiTheme="minorHAnsi" w:hAnsiTheme="minorHAnsi" w:cstheme="minorHAnsi"/>
          <w:szCs w:val="22"/>
        </w:rPr>
        <w:t xml:space="preserve">If you need to apply for a refund, please check the information below to determine whether you are eligible for a refund and if so, how much you are entitled to. </w:t>
      </w:r>
      <w:r w:rsidR="000D4C92" w:rsidRPr="006F1FA8">
        <w:rPr>
          <w:rFonts w:asciiTheme="minorHAnsi" w:hAnsiTheme="minorHAnsi" w:cstheme="minorHAnsi"/>
          <w:szCs w:val="22"/>
        </w:rPr>
        <w:t>The dates are dependent on the Semester they begin their studies and are outlined below.</w:t>
      </w:r>
    </w:p>
    <w:p w14:paraId="209D1BF7" w14:textId="77777777" w:rsidR="00E62279" w:rsidRDefault="00E62279" w:rsidP="00E62279">
      <w:pPr>
        <w:rPr>
          <w:color w:val="FF0000"/>
        </w:rPr>
      </w:pPr>
    </w:p>
    <w:p w14:paraId="46469976" w14:textId="77777777" w:rsidR="00E62279" w:rsidRDefault="00E62279" w:rsidP="00E62279">
      <w:pPr>
        <w:pStyle w:val="BodyText"/>
        <w:spacing w:before="2"/>
        <w:rPr>
          <w:sz w:val="16"/>
        </w:rPr>
      </w:pPr>
    </w:p>
    <w:tbl>
      <w:tblPr>
        <w:tblW w:w="8757" w:type="dxa"/>
        <w:tblInd w:w="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488"/>
        <w:gridCol w:w="2269"/>
      </w:tblGrid>
      <w:tr w:rsidR="00E62279" w14:paraId="37B2C6BF" w14:textId="77777777" w:rsidTr="004D48ED">
        <w:trPr>
          <w:trHeight w:hRule="exact" w:val="396"/>
        </w:trPr>
        <w:tc>
          <w:tcPr>
            <w:tcW w:w="6488" w:type="dxa"/>
            <w:tcBorders>
              <w:right w:val="single" w:sz="4" w:space="0" w:color="000000"/>
            </w:tcBorders>
            <w:shd w:val="clear" w:color="auto" w:fill="D9D9D9"/>
          </w:tcPr>
          <w:p w14:paraId="1D7A2FB1" w14:textId="0D0BC840" w:rsidR="00E62279" w:rsidRDefault="004D48ED" w:rsidP="007568FA">
            <w:pPr>
              <w:pStyle w:val="TableParagraph"/>
              <w:spacing w:before="52"/>
              <w:ind w:left="100"/>
            </w:pPr>
            <w:r>
              <w:t xml:space="preserve">e.g. </w:t>
            </w:r>
            <w:r w:rsidR="00E62279">
              <w:t>Student starting in Semester A</w:t>
            </w:r>
          </w:p>
        </w:tc>
        <w:tc>
          <w:tcPr>
            <w:tcW w:w="2269" w:type="dxa"/>
            <w:tcBorders>
              <w:left w:val="single" w:sz="4" w:space="0" w:color="000000"/>
              <w:right w:val="single" w:sz="4" w:space="0" w:color="000000"/>
            </w:tcBorders>
            <w:shd w:val="clear" w:color="auto" w:fill="D9D9D9"/>
          </w:tcPr>
          <w:p w14:paraId="73845B62" w14:textId="77777777" w:rsidR="00E62279" w:rsidRDefault="00E62279" w:rsidP="007568FA">
            <w:pPr>
              <w:pStyle w:val="TableParagraph"/>
              <w:spacing w:before="52"/>
            </w:pPr>
            <w:r>
              <w:t>Amount Due</w:t>
            </w:r>
          </w:p>
        </w:tc>
      </w:tr>
      <w:tr w:rsidR="00E62279" w14:paraId="49658502" w14:textId="77777777" w:rsidTr="004D48ED">
        <w:trPr>
          <w:trHeight w:hRule="exact" w:val="553"/>
        </w:trPr>
        <w:tc>
          <w:tcPr>
            <w:tcW w:w="6488" w:type="dxa"/>
            <w:tcBorders>
              <w:right w:val="single" w:sz="4" w:space="0" w:color="000000"/>
            </w:tcBorders>
          </w:tcPr>
          <w:p w14:paraId="607F68DF" w14:textId="33902857" w:rsidR="00E62279" w:rsidRDefault="00880D6A" w:rsidP="004D48ED">
            <w:pPr>
              <w:pStyle w:val="TableParagraph"/>
              <w:spacing w:line="265" w:lineRule="exact"/>
              <w:ind w:left="100"/>
            </w:pPr>
            <w:r>
              <w:t>3</w:t>
            </w:r>
            <w:r w:rsidRPr="00880D6A">
              <w:rPr>
                <w:vertAlign w:val="superscript"/>
              </w:rPr>
              <w:t>rd</w:t>
            </w:r>
            <w:r>
              <w:t xml:space="preserve"> </w:t>
            </w:r>
            <w:r w:rsidR="004D48ED">
              <w:t>O</w:t>
            </w:r>
            <w:r w:rsidR="00E62279">
              <w:t>ctober 20</w:t>
            </w:r>
            <w:r>
              <w:t>21</w:t>
            </w:r>
          </w:p>
        </w:tc>
        <w:tc>
          <w:tcPr>
            <w:tcW w:w="2269" w:type="dxa"/>
            <w:tcBorders>
              <w:left w:val="single" w:sz="4" w:space="0" w:color="000000"/>
              <w:right w:val="single" w:sz="4" w:space="0" w:color="000000"/>
            </w:tcBorders>
          </w:tcPr>
          <w:p w14:paraId="12E72AE6" w14:textId="77777777" w:rsidR="00E62279" w:rsidRDefault="00E62279" w:rsidP="007568FA">
            <w:pPr>
              <w:pStyle w:val="TableParagraph"/>
              <w:spacing w:before="131"/>
            </w:pPr>
            <w:r>
              <w:t>No fee liability</w:t>
            </w:r>
          </w:p>
        </w:tc>
      </w:tr>
      <w:tr w:rsidR="00E62279" w14:paraId="5F52DDA4" w14:textId="77777777" w:rsidTr="004D48ED">
        <w:trPr>
          <w:trHeight w:hRule="exact" w:val="552"/>
        </w:trPr>
        <w:tc>
          <w:tcPr>
            <w:tcW w:w="6488" w:type="dxa"/>
            <w:tcBorders>
              <w:right w:val="single" w:sz="4" w:space="0" w:color="000000"/>
            </w:tcBorders>
          </w:tcPr>
          <w:p w14:paraId="56AC7431" w14:textId="43500E22" w:rsidR="00E62279" w:rsidRDefault="00880D6A" w:rsidP="00777127">
            <w:pPr>
              <w:pStyle w:val="TableParagraph"/>
              <w:spacing w:line="265" w:lineRule="exact"/>
              <w:ind w:left="100"/>
            </w:pPr>
            <w:r>
              <w:t>4</w:t>
            </w:r>
            <w:r w:rsidRPr="00880D6A">
              <w:rPr>
                <w:vertAlign w:val="superscript"/>
              </w:rPr>
              <w:t>th</w:t>
            </w:r>
            <w:r>
              <w:t xml:space="preserve"> </w:t>
            </w:r>
            <w:r w:rsidR="00E62279">
              <w:t>October 20</w:t>
            </w:r>
            <w:r>
              <w:t>21</w:t>
            </w:r>
          </w:p>
        </w:tc>
        <w:tc>
          <w:tcPr>
            <w:tcW w:w="2269" w:type="dxa"/>
            <w:tcBorders>
              <w:left w:val="single" w:sz="4" w:space="0" w:color="000000"/>
              <w:right w:val="single" w:sz="4" w:space="0" w:color="000000"/>
            </w:tcBorders>
          </w:tcPr>
          <w:p w14:paraId="30F26D2B" w14:textId="77777777" w:rsidR="00E62279" w:rsidRDefault="00E62279" w:rsidP="007568FA">
            <w:pPr>
              <w:pStyle w:val="TableParagraph"/>
              <w:spacing w:before="131"/>
            </w:pPr>
            <w:r>
              <w:t>25% of tuition fees</w:t>
            </w:r>
          </w:p>
        </w:tc>
      </w:tr>
      <w:tr w:rsidR="00E62279" w14:paraId="1E695F75" w14:textId="77777777" w:rsidTr="004D48ED">
        <w:trPr>
          <w:trHeight w:hRule="exact" w:val="559"/>
        </w:trPr>
        <w:tc>
          <w:tcPr>
            <w:tcW w:w="6488" w:type="dxa"/>
            <w:tcBorders>
              <w:right w:val="single" w:sz="4" w:space="0" w:color="000000"/>
            </w:tcBorders>
          </w:tcPr>
          <w:p w14:paraId="090DC050" w14:textId="5C5940AB" w:rsidR="00E62279" w:rsidRDefault="004D48ED" w:rsidP="004D48ED">
            <w:pPr>
              <w:pStyle w:val="TableParagraph"/>
              <w:spacing w:line="265" w:lineRule="exact"/>
              <w:ind w:left="100"/>
            </w:pPr>
            <w:r>
              <w:t>1</w:t>
            </w:r>
            <w:r w:rsidR="00880D6A">
              <w:t>0</w:t>
            </w:r>
            <w:proofErr w:type="gramStart"/>
            <w:r w:rsidRPr="004D48ED">
              <w:rPr>
                <w:vertAlign w:val="superscript"/>
              </w:rPr>
              <w:t>th</w:t>
            </w:r>
            <w:r>
              <w:t xml:space="preserve"> </w:t>
            </w:r>
            <w:r w:rsidR="00E62279">
              <w:rPr>
                <w:position w:val="8"/>
                <w:sz w:val="14"/>
              </w:rPr>
              <w:t xml:space="preserve"> </w:t>
            </w:r>
            <w:r w:rsidR="00E62279">
              <w:t>January</w:t>
            </w:r>
            <w:proofErr w:type="gramEnd"/>
            <w:r w:rsidR="00E62279">
              <w:t xml:space="preserve"> 20</w:t>
            </w:r>
            <w:r>
              <w:t>2</w:t>
            </w:r>
            <w:r w:rsidR="00880D6A">
              <w:t>2</w:t>
            </w:r>
          </w:p>
        </w:tc>
        <w:tc>
          <w:tcPr>
            <w:tcW w:w="2269" w:type="dxa"/>
            <w:tcBorders>
              <w:left w:val="single" w:sz="4" w:space="0" w:color="000000"/>
              <w:right w:val="single" w:sz="4" w:space="0" w:color="000000"/>
            </w:tcBorders>
          </w:tcPr>
          <w:p w14:paraId="6F976778" w14:textId="77777777" w:rsidR="00E62279" w:rsidRDefault="00E62279" w:rsidP="007568FA">
            <w:pPr>
              <w:pStyle w:val="TableParagraph"/>
              <w:spacing w:before="136"/>
            </w:pPr>
            <w:r>
              <w:t>50% of tuition fees</w:t>
            </w:r>
          </w:p>
        </w:tc>
      </w:tr>
      <w:tr w:rsidR="00E62279" w14:paraId="3BBF539B" w14:textId="77777777" w:rsidTr="004D48ED">
        <w:trPr>
          <w:trHeight w:hRule="exact" w:val="552"/>
        </w:trPr>
        <w:tc>
          <w:tcPr>
            <w:tcW w:w="6488" w:type="dxa"/>
            <w:tcBorders>
              <w:right w:val="single" w:sz="4" w:space="0" w:color="000000"/>
            </w:tcBorders>
          </w:tcPr>
          <w:p w14:paraId="4B7FBE88" w14:textId="5DE8DE4A" w:rsidR="00E62279" w:rsidRDefault="00880D6A" w:rsidP="00777127">
            <w:pPr>
              <w:pStyle w:val="TableParagraph"/>
              <w:spacing w:line="265" w:lineRule="exact"/>
              <w:ind w:left="100"/>
            </w:pPr>
            <w:r>
              <w:t>18</w:t>
            </w:r>
            <w:proofErr w:type="spellStart"/>
            <w:r w:rsidR="00E62279">
              <w:rPr>
                <w:position w:val="8"/>
                <w:sz w:val="14"/>
              </w:rPr>
              <w:t>th</w:t>
            </w:r>
            <w:proofErr w:type="spellEnd"/>
            <w:r w:rsidR="00E62279">
              <w:rPr>
                <w:position w:val="8"/>
                <w:sz w:val="14"/>
              </w:rPr>
              <w:t xml:space="preserve"> </w:t>
            </w:r>
            <w:r w:rsidR="004D48ED">
              <w:t>April 202</w:t>
            </w:r>
            <w:r>
              <w:t>2</w:t>
            </w:r>
          </w:p>
        </w:tc>
        <w:tc>
          <w:tcPr>
            <w:tcW w:w="2269" w:type="dxa"/>
            <w:tcBorders>
              <w:left w:val="single" w:sz="4" w:space="0" w:color="000000"/>
              <w:right w:val="single" w:sz="4" w:space="0" w:color="000000"/>
            </w:tcBorders>
          </w:tcPr>
          <w:p w14:paraId="7EBD35A1" w14:textId="77777777" w:rsidR="00E62279" w:rsidRDefault="00E62279" w:rsidP="007568FA">
            <w:pPr>
              <w:pStyle w:val="TableParagraph"/>
              <w:spacing w:before="131"/>
            </w:pPr>
            <w:r>
              <w:t>100% of tuition fees</w:t>
            </w:r>
          </w:p>
        </w:tc>
      </w:tr>
    </w:tbl>
    <w:p w14:paraId="3614F0D3" w14:textId="5CC2DF5F" w:rsidR="00E62279" w:rsidRDefault="00E62279" w:rsidP="00E62279">
      <w:pPr>
        <w:rPr>
          <w:color w:val="FF0000"/>
        </w:rPr>
      </w:pPr>
    </w:p>
    <w:p w14:paraId="3B0034DA" w14:textId="4F5CF4E5" w:rsidR="004D48ED" w:rsidRDefault="004D48ED" w:rsidP="00E62279">
      <w:pPr>
        <w:rPr>
          <w:color w:val="FF0000"/>
        </w:rPr>
      </w:pPr>
    </w:p>
    <w:p w14:paraId="3C2BC85D" w14:textId="0CE37FEA" w:rsidR="004D48ED" w:rsidRDefault="004D48ED" w:rsidP="00E62279">
      <w:pPr>
        <w:rPr>
          <w:color w:val="FF0000"/>
        </w:rPr>
      </w:pPr>
    </w:p>
    <w:p w14:paraId="0EAEE730" w14:textId="4EDBCA65" w:rsidR="004D48ED" w:rsidRDefault="004D48ED" w:rsidP="00E62279">
      <w:pPr>
        <w:rPr>
          <w:color w:val="FF0000"/>
        </w:rPr>
      </w:pPr>
    </w:p>
    <w:p w14:paraId="60F06C8A" w14:textId="7645637C" w:rsidR="004D48ED" w:rsidRDefault="004D48ED" w:rsidP="00E62279">
      <w:pPr>
        <w:rPr>
          <w:color w:val="FF0000"/>
        </w:rPr>
      </w:pPr>
    </w:p>
    <w:p w14:paraId="5F067086" w14:textId="36527E07" w:rsidR="004D48ED" w:rsidRDefault="004D48ED" w:rsidP="00E62279">
      <w:pPr>
        <w:rPr>
          <w:color w:val="FF0000"/>
        </w:rPr>
      </w:pPr>
    </w:p>
    <w:p w14:paraId="15B990A9" w14:textId="382A28A0" w:rsidR="004D48ED" w:rsidRDefault="004D48ED" w:rsidP="00E62279">
      <w:pPr>
        <w:rPr>
          <w:color w:val="FF0000"/>
        </w:rPr>
      </w:pPr>
    </w:p>
    <w:p w14:paraId="446560C2" w14:textId="3A6415FA" w:rsidR="004D48ED" w:rsidRDefault="004D48ED" w:rsidP="00E62279">
      <w:pPr>
        <w:rPr>
          <w:color w:val="FF0000"/>
        </w:rPr>
      </w:pPr>
    </w:p>
    <w:p w14:paraId="2CABF5A2" w14:textId="4416E143" w:rsidR="004D48ED" w:rsidRDefault="004D48ED" w:rsidP="00E62279">
      <w:pPr>
        <w:rPr>
          <w:color w:val="FF0000"/>
        </w:rPr>
      </w:pPr>
    </w:p>
    <w:p w14:paraId="3CCCAB5F" w14:textId="1C38AE00" w:rsidR="004D48ED" w:rsidRDefault="004D48ED" w:rsidP="00E62279">
      <w:pPr>
        <w:rPr>
          <w:color w:val="FF0000"/>
        </w:rPr>
      </w:pPr>
    </w:p>
    <w:p w14:paraId="457803A0" w14:textId="49EDBF45" w:rsidR="004D48ED" w:rsidRDefault="004D48ED" w:rsidP="00E62279">
      <w:pPr>
        <w:rPr>
          <w:color w:val="FF0000"/>
        </w:rPr>
      </w:pPr>
    </w:p>
    <w:p w14:paraId="40CF927B" w14:textId="680A6400" w:rsidR="004D48ED" w:rsidRDefault="004D48ED" w:rsidP="00E62279">
      <w:pPr>
        <w:rPr>
          <w:color w:val="FF0000"/>
        </w:rPr>
      </w:pPr>
    </w:p>
    <w:p w14:paraId="71AB5014" w14:textId="58D810D7" w:rsidR="004D48ED" w:rsidRDefault="004D48ED" w:rsidP="00E62279">
      <w:pPr>
        <w:rPr>
          <w:color w:val="FF0000"/>
        </w:rPr>
      </w:pPr>
    </w:p>
    <w:p w14:paraId="740AF69F" w14:textId="75F4CCE3" w:rsidR="004D48ED" w:rsidRDefault="004D48ED" w:rsidP="00E62279">
      <w:pPr>
        <w:rPr>
          <w:color w:val="FF0000"/>
        </w:rPr>
      </w:pPr>
    </w:p>
    <w:p w14:paraId="4B6522D7" w14:textId="49E68256" w:rsidR="004D48ED" w:rsidRDefault="004D48ED" w:rsidP="00E62279">
      <w:pPr>
        <w:rPr>
          <w:color w:val="FF0000"/>
        </w:rPr>
      </w:pPr>
    </w:p>
    <w:p w14:paraId="2B230791" w14:textId="619409D3" w:rsidR="004D48ED" w:rsidRDefault="004D48ED" w:rsidP="00E62279">
      <w:pPr>
        <w:rPr>
          <w:color w:val="FF0000"/>
        </w:rPr>
      </w:pPr>
    </w:p>
    <w:p w14:paraId="0749DD6A" w14:textId="0254AD78" w:rsidR="004D48ED" w:rsidRDefault="004D48ED" w:rsidP="00E62279">
      <w:pPr>
        <w:rPr>
          <w:color w:val="FF0000"/>
        </w:rPr>
      </w:pPr>
    </w:p>
    <w:p w14:paraId="058F8DEB" w14:textId="55A82E11" w:rsidR="004D48ED" w:rsidRDefault="004D48ED" w:rsidP="00E62279">
      <w:pPr>
        <w:rPr>
          <w:color w:val="FF0000"/>
        </w:rPr>
      </w:pPr>
    </w:p>
    <w:p w14:paraId="2FFC15F2" w14:textId="7B43CE52" w:rsidR="004D48ED" w:rsidRDefault="004D48ED" w:rsidP="00E62279">
      <w:pPr>
        <w:rPr>
          <w:color w:val="FF0000"/>
        </w:rPr>
      </w:pPr>
    </w:p>
    <w:p w14:paraId="734F0AC9" w14:textId="7D149328" w:rsidR="004D48ED" w:rsidRDefault="004D48ED" w:rsidP="00E62279">
      <w:pPr>
        <w:rPr>
          <w:color w:val="FF0000"/>
        </w:rPr>
      </w:pPr>
    </w:p>
    <w:p w14:paraId="195E5C5F" w14:textId="1A406995" w:rsidR="004D48ED" w:rsidRDefault="004D48ED" w:rsidP="00E62279">
      <w:pPr>
        <w:rPr>
          <w:color w:val="FF0000"/>
        </w:rPr>
      </w:pPr>
    </w:p>
    <w:p w14:paraId="341F3539" w14:textId="75E76071" w:rsidR="004D48ED" w:rsidRDefault="004D48ED" w:rsidP="00E62279">
      <w:pPr>
        <w:rPr>
          <w:color w:val="FF0000"/>
        </w:rPr>
      </w:pPr>
    </w:p>
    <w:p w14:paraId="486BD2C6" w14:textId="77777777" w:rsidR="004D48ED" w:rsidRDefault="004D48ED" w:rsidP="00E62279">
      <w:pPr>
        <w:rPr>
          <w:color w:val="FF0000"/>
        </w:rPr>
      </w:pPr>
    </w:p>
    <w:p w14:paraId="3B0A6471" w14:textId="272BB063" w:rsidR="00E62279" w:rsidRDefault="00E62279" w:rsidP="00CA63C8">
      <w:pPr>
        <w:rPr>
          <w:color w:val="FF0000"/>
        </w:rPr>
      </w:pPr>
    </w:p>
    <w:p w14:paraId="5464613E" w14:textId="77777777" w:rsidR="00492035" w:rsidRPr="00492035" w:rsidRDefault="00492035" w:rsidP="00492035">
      <w:pPr>
        <w:jc w:val="both"/>
        <w:rPr>
          <w:rFonts w:asciiTheme="minorHAnsi" w:hAnsiTheme="minorHAnsi" w:cstheme="minorHAnsi"/>
          <w:b/>
          <w:color w:val="31849B" w:themeColor="accent5" w:themeShade="BF"/>
          <w:sz w:val="28"/>
          <w:szCs w:val="22"/>
        </w:rPr>
      </w:pPr>
      <w:r w:rsidRPr="00492035">
        <w:rPr>
          <w:rFonts w:asciiTheme="minorHAnsi" w:hAnsiTheme="minorHAnsi" w:cstheme="minorHAnsi"/>
          <w:b/>
          <w:color w:val="31849B" w:themeColor="accent5" w:themeShade="BF"/>
          <w:sz w:val="28"/>
          <w:szCs w:val="22"/>
        </w:rPr>
        <w:t>Appendix 4</w:t>
      </w:r>
    </w:p>
    <w:p w14:paraId="29F3736C" w14:textId="77777777" w:rsidR="00492035" w:rsidRPr="00492035" w:rsidRDefault="00492035" w:rsidP="00492035">
      <w:pPr>
        <w:jc w:val="both"/>
        <w:rPr>
          <w:rFonts w:asciiTheme="minorHAnsi" w:hAnsiTheme="minorHAnsi" w:cstheme="minorHAnsi"/>
          <w:b/>
          <w:color w:val="31849B" w:themeColor="accent5" w:themeShade="BF"/>
          <w:sz w:val="28"/>
          <w:szCs w:val="22"/>
        </w:rPr>
      </w:pPr>
    </w:p>
    <w:p w14:paraId="7B9FBF49" w14:textId="77777777" w:rsidR="00492035" w:rsidRPr="00492035" w:rsidRDefault="00492035" w:rsidP="00492035">
      <w:pPr>
        <w:rPr>
          <w:rFonts w:asciiTheme="minorHAnsi" w:hAnsiTheme="minorHAnsi" w:cstheme="minorHAnsi"/>
          <w:b/>
          <w:color w:val="31849B" w:themeColor="accent5" w:themeShade="BF"/>
          <w:sz w:val="28"/>
          <w:szCs w:val="22"/>
        </w:rPr>
      </w:pPr>
      <w:r w:rsidRPr="00492035">
        <w:rPr>
          <w:rFonts w:asciiTheme="minorHAnsi" w:hAnsiTheme="minorHAnsi" w:cstheme="minorHAnsi"/>
          <w:b/>
          <w:color w:val="31849B" w:themeColor="accent5" w:themeShade="BF"/>
          <w:sz w:val="28"/>
          <w:szCs w:val="22"/>
        </w:rPr>
        <w:t>Oaklands Refund Policy – Apprenticeships &amp; Work-based Learning</w:t>
      </w:r>
    </w:p>
    <w:p w14:paraId="3A7A578B" w14:textId="77777777" w:rsidR="00492035" w:rsidRPr="00492035" w:rsidRDefault="00492035" w:rsidP="00492035">
      <w:pPr>
        <w:rPr>
          <w:rFonts w:asciiTheme="minorHAnsi" w:hAnsiTheme="minorHAnsi" w:cstheme="minorHAnsi"/>
          <w:szCs w:val="22"/>
        </w:rPr>
      </w:pPr>
    </w:p>
    <w:p w14:paraId="027D4B70"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Apprenticeships and work-based courses offered by Oaklands assume that all students who start a course will finish it. The cost of the course is calculated on this basis. Consequently, the college does not expect to offer refunds except in exceptional circumstances.</w:t>
      </w:r>
    </w:p>
    <w:p w14:paraId="1BC3B64C" w14:textId="77777777" w:rsidR="00492035" w:rsidRPr="00492035" w:rsidRDefault="00492035" w:rsidP="00492035">
      <w:pPr>
        <w:jc w:val="both"/>
        <w:rPr>
          <w:rFonts w:asciiTheme="minorHAnsi" w:hAnsiTheme="minorHAnsi" w:cstheme="minorHAnsi"/>
          <w:szCs w:val="22"/>
        </w:rPr>
      </w:pPr>
    </w:p>
    <w:p w14:paraId="3E353457"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An employer will be able to request a refund of the employer contribution towards an Apprenticeship or work-based course in the following circumstances:</w:t>
      </w:r>
    </w:p>
    <w:p w14:paraId="1A25B6F7" w14:textId="77777777" w:rsidR="00492035" w:rsidRPr="00492035" w:rsidRDefault="00492035" w:rsidP="00492035">
      <w:pPr>
        <w:jc w:val="both"/>
        <w:rPr>
          <w:rFonts w:asciiTheme="minorHAnsi" w:hAnsiTheme="minorHAnsi" w:cstheme="minorHAnsi"/>
          <w:szCs w:val="22"/>
        </w:rPr>
      </w:pPr>
    </w:p>
    <w:p w14:paraId="33E8CE8A" w14:textId="77777777" w:rsidR="00492035" w:rsidRPr="00492035" w:rsidRDefault="00492035" w:rsidP="00492035">
      <w:pPr>
        <w:numPr>
          <w:ilvl w:val="0"/>
          <w:numId w:val="11"/>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Course cancellation / withdrawal </w:t>
      </w:r>
    </w:p>
    <w:p w14:paraId="05484F71" w14:textId="77777777" w:rsidR="00492035" w:rsidRPr="00492035" w:rsidRDefault="00492035" w:rsidP="00492035">
      <w:pPr>
        <w:numPr>
          <w:ilvl w:val="0"/>
          <w:numId w:val="11"/>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Unsuitability of the course – Assessor evidence provided </w:t>
      </w:r>
      <w:r w:rsidRPr="00492035">
        <w:rPr>
          <w:rFonts w:asciiTheme="minorHAnsi" w:hAnsiTheme="minorHAnsi" w:cstheme="minorHAnsi"/>
          <w:b/>
          <w:szCs w:val="22"/>
          <w:lang w:eastAsia="en-GB"/>
        </w:rPr>
        <w:t>within 6 weeks</w:t>
      </w:r>
      <w:r w:rsidRPr="00492035">
        <w:rPr>
          <w:rFonts w:asciiTheme="minorHAnsi" w:hAnsiTheme="minorHAnsi" w:cstheme="minorHAnsi"/>
          <w:szCs w:val="22"/>
          <w:lang w:eastAsia="en-GB"/>
        </w:rPr>
        <w:t xml:space="preserve"> of starting the course. </w:t>
      </w:r>
    </w:p>
    <w:p w14:paraId="421C4438" w14:textId="77777777" w:rsidR="00492035" w:rsidRPr="00492035" w:rsidRDefault="00492035" w:rsidP="00492035">
      <w:pPr>
        <w:numPr>
          <w:ilvl w:val="0"/>
          <w:numId w:val="11"/>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Serious illness / death of an Apprentice - medical evidence provided e.g. a signed letter in English from a GP or Medical Practitioner </w:t>
      </w:r>
    </w:p>
    <w:p w14:paraId="5171EB97" w14:textId="77777777" w:rsidR="00492035" w:rsidRPr="00492035" w:rsidRDefault="00492035" w:rsidP="00492035">
      <w:pPr>
        <w:numPr>
          <w:ilvl w:val="0"/>
          <w:numId w:val="11"/>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Serious illness/death of an Apprentice’s family member whether in UK - medical evidence provided e.g. a signed letter in English from a GP or Medical Practitioner </w:t>
      </w:r>
    </w:p>
    <w:p w14:paraId="1A67D221" w14:textId="77777777" w:rsidR="00492035" w:rsidRPr="00492035" w:rsidRDefault="00492035" w:rsidP="00492035">
      <w:pPr>
        <w:numPr>
          <w:ilvl w:val="0"/>
          <w:numId w:val="11"/>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Apprentice has left their employment and moved to a new job external to the company </w:t>
      </w:r>
    </w:p>
    <w:p w14:paraId="1BF50066"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 xml:space="preserve">You will </w:t>
      </w:r>
      <w:r w:rsidRPr="00492035">
        <w:rPr>
          <w:rFonts w:asciiTheme="minorHAnsi" w:hAnsiTheme="minorHAnsi" w:cstheme="minorHAnsi"/>
          <w:b/>
          <w:szCs w:val="22"/>
        </w:rPr>
        <w:t>NOT</w:t>
      </w:r>
      <w:r w:rsidRPr="00492035">
        <w:rPr>
          <w:rFonts w:asciiTheme="minorHAnsi" w:hAnsiTheme="minorHAnsi" w:cstheme="minorHAnsi"/>
          <w:szCs w:val="22"/>
        </w:rPr>
        <w:t xml:space="preserve"> be able to request a refund in the following situations:</w:t>
      </w:r>
    </w:p>
    <w:p w14:paraId="211D1CAD" w14:textId="77777777" w:rsidR="00492035" w:rsidRPr="00492035" w:rsidRDefault="00492035" w:rsidP="00492035">
      <w:pPr>
        <w:jc w:val="both"/>
        <w:rPr>
          <w:rFonts w:asciiTheme="minorHAnsi" w:hAnsiTheme="minorHAnsi" w:cstheme="minorHAnsi"/>
          <w:szCs w:val="22"/>
        </w:rPr>
      </w:pPr>
    </w:p>
    <w:p w14:paraId="74E1E798" w14:textId="77777777" w:rsidR="00492035" w:rsidRPr="00492035" w:rsidRDefault="00492035" w:rsidP="00492035">
      <w:pPr>
        <w:numPr>
          <w:ilvl w:val="0"/>
          <w:numId w:val="12"/>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Termination of an Apprentice due to performance management</w:t>
      </w:r>
    </w:p>
    <w:p w14:paraId="197EAEC1" w14:textId="77777777" w:rsidR="00492035" w:rsidRPr="00492035" w:rsidRDefault="00492035" w:rsidP="00492035">
      <w:pPr>
        <w:numPr>
          <w:ilvl w:val="0"/>
          <w:numId w:val="12"/>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Redundancy of an Apprentice </w:t>
      </w:r>
    </w:p>
    <w:p w14:paraId="2C02D165" w14:textId="77777777" w:rsidR="00492035" w:rsidRPr="00492035" w:rsidRDefault="00492035" w:rsidP="00492035">
      <w:pPr>
        <w:numPr>
          <w:ilvl w:val="0"/>
          <w:numId w:val="12"/>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 xml:space="preserve">Change of shift in a job </w:t>
      </w:r>
    </w:p>
    <w:p w14:paraId="0327DAC6" w14:textId="77777777" w:rsidR="00492035" w:rsidRPr="00492035" w:rsidRDefault="00492035" w:rsidP="00492035">
      <w:pPr>
        <w:numPr>
          <w:ilvl w:val="0"/>
          <w:numId w:val="12"/>
        </w:numPr>
        <w:spacing w:after="200" w:line="276" w:lineRule="auto"/>
        <w:contextualSpacing/>
        <w:jc w:val="both"/>
        <w:rPr>
          <w:rFonts w:asciiTheme="minorHAnsi" w:hAnsiTheme="minorHAnsi" w:cstheme="minorHAnsi"/>
          <w:szCs w:val="22"/>
          <w:lang w:eastAsia="en-GB"/>
        </w:rPr>
      </w:pPr>
      <w:r w:rsidRPr="00492035">
        <w:rPr>
          <w:rFonts w:asciiTheme="minorHAnsi" w:hAnsiTheme="minorHAnsi" w:cstheme="minorHAnsi"/>
          <w:szCs w:val="22"/>
          <w:lang w:eastAsia="en-GB"/>
        </w:rPr>
        <w:t>Pregnancy</w:t>
      </w:r>
    </w:p>
    <w:p w14:paraId="2B00918F"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Refunds will only be at the discretion of the Head of Department/Finance Director. Achievement, progress and length of time on programme will be taken in to consideration.</w:t>
      </w:r>
    </w:p>
    <w:p w14:paraId="4FDCD432" w14:textId="77777777" w:rsidR="00492035" w:rsidRPr="00492035" w:rsidRDefault="00492035" w:rsidP="00492035">
      <w:pPr>
        <w:jc w:val="both"/>
        <w:rPr>
          <w:rFonts w:asciiTheme="minorHAnsi" w:hAnsiTheme="minorHAnsi" w:cstheme="minorHAnsi"/>
          <w:szCs w:val="22"/>
        </w:rPr>
      </w:pPr>
    </w:p>
    <w:p w14:paraId="65C56A50"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Refund forms must be completed and returned to The Finance Office within 4 weeks of the Apprentice withdrawal, after this date your refund may not be considered.</w:t>
      </w:r>
    </w:p>
    <w:p w14:paraId="618C6B55" w14:textId="77777777" w:rsidR="00492035" w:rsidRPr="00492035" w:rsidRDefault="00492035" w:rsidP="00492035">
      <w:pPr>
        <w:jc w:val="both"/>
        <w:rPr>
          <w:rFonts w:asciiTheme="minorHAnsi" w:hAnsiTheme="minorHAnsi" w:cstheme="minorHAnsi"/>
          <w:szCs w:val="22"/>
        </w:rPr>
      </w:pPr>
    </w:p>
    <w:p w14:paraId="62FE87C6" w14:textId="77777777" w:rsidR="00492035" w:rsidRPr="00492035" w:rsidRDefault="00492035" w:rsidP="00492035">
      <w:pPr>
        <w:rPr>
          <w:rFonts w:asciiTheme="minorHAnsi" w:hAnsiTheme="minorHAnsi" w:cstheme="minorHAnsi"/>
          <w:b/>
          <w:color w:val="31849B" w:themeColor="accent5" w:themeShade="BF"/>
          <w:sz w:val="28"/>
          <w:szCs w:val="22"/>
        </w:rPr>
      </w:pPr>
      <w:r w:rsidRPr="00492035">
        <w:rPr>
          <w:rFonts w:asciiTheme="minorHAnsi" w:hAnsiTheme="minorHAnsi" w:cstheme="minorHAnsi"/>
          <w:b/>
          <w:color w:val="31849B" w:themeColor="accent5" w:themeShade="BF"/>
          <w:sz w:val="28"/>
          <w:szCs w:val="22"/>
        </w:rPr>
        <w:t xml:space="preserve">Incentive Payments </w:t>
      </w:r>
    </w:p>
    <w:p w14:paraId="59ABA659" w14:textId="77777777" w:rsidR="00492035" w:rsidRPr="00492035" w:rsidRDefault="00492035" w:rsidP="00492035">
      <w:pPr>
        <w:jc w:val="both"/>
        <w:rPr>
          <w:rFonts w:asciiTheme="minorHAnsi" w:hAnsiTheme="minorHAnsi" w:cstheme="minorHAnsi"/>
          <w:szCs w:val="22"/>
        </w:rPr>
      </w:pPr>
    </w:p>
    <w:p w14:paraId="291981FE" w14:textId="77777777" w:rsidR="00492035" w:rsidRPr="00492035" w:rsidRDefault="00492035" w:rsidP="00492035">
      <w:pPr>
        <w:jc w:val="both"/>
        <w:rPr>
          <w:rFonts w:asciiTheme="minorHAnsi" w:hAnsiTheme="minorHAnsi" w:cstheme="minorHAnsi"/>
          <w:szCs w:val="22"/>
        </w:rPr>
      </w:pPr>
      <w:r w:rsidRPr="00492035">
        <w:rPr>
          <w:rFonts w:asciiTheme="minorHAnsi" w:hAnsiTheme="minorHAnsi" w:cstheme="minorHAnsi"/>
          <w:szCs w:val="22"/>
        </w:rPr>
        <w:t xml:space="preserve">Incentive payments which have been made to an employer for individuals who are deemed to not have met the eligibility criteria or are not in employment and/or learning at the defined census points will need to be repaid by the employer to the Education and Skills Funding Agency (ESFA) within 21 days or receiving such notification. This repayment will be collected by Oaklands College in line with ESFA funding rules. </w:t>
      </w:r>
    </w:p>
    <w:p w14:paraId="529CC90F" w14:textId="77777777" w:rsidR="00492035" w:rsidRPr="00492035" w:rsidRDefault="00492035" w:rsidP="00492035">
      <w:pPr>
        <w:jc w:val="both"/>
      </w:pPr>
    </w:p>
    <w:p w14:paraId="06935511" w14:textId="638206BD" w:rsidR="00492035" w:rsidRDefault="00492035" w:rsidP="00CA63C8">
      <w:pPr>
        <w:rPr>
          <w:color w:val="FF0000"/>
        </w:rPr>
      </w:pPr>
    </w:p>
    <w:p w14:paraId="0E49763A" w14:textId="3B88F73C" w:rsidR="00492035" w:rsidRDefault="00492035" w:rsidP="00CA63C8">
      <w:pPr>
        <w:rPr>
          <w:color w:val="FF0000"/>
        </w:rPr>
      </w:pPr>
    </w:p>
    <w:p w14:paraId="1081938A" w14:textId="74FDAE6A" w:rsidR="00492035" w:rsidRDefault="00492035" w:rsidP="00CA63C8">
      <w:pPr>
        <w:rPr>
          <w:color w:val="FF0000"/>
        </w:rPr>
      </w:pPr>
    </w:p>
    <w:p w14:paraId="4319036E" w14:textId="7793D22B" w:rsidR="00492035" w:rsidRDefault="00492035" w:rsidP="00CA63C8">
      <w:pPr>
        <w:rPr>
          <w:color w:val="FF0000"/>
        </w:rPr>
      </w:pPr>
    </w:p>
    <w:p w14:paraId="0FE9AF60" w14:textId="446C2C45" w:rsidR="00492035" w:rsidRDefault="00492035" w:rsidP="00CA63C8">
      <w:pPr>
        <w:rPr>
          <w:color w:val="FF0000"/>
        </w:rPr>
      </w:pPr>
    </w:p>
    <w:p w14:paraId="04EB3C0B" w14:textId="5B4848B7" w:rsidR="00492035" w:rsidRDefault="00492035" w:rsidP="00CA63C8">
      <w:pPr>
        <w:rPr>
          <w:color w:val="FF0000"/>
        </w:rPr>
      </w:pPr>
    </w:p>
    <w:p w14:paraId="7F1A79A1" w14:textId="77777777" w:rsidR="00492035" w:rsidRDefault="00492035" w:rsidP="00CA63C8">
      <w:pPr>
        <w:rPr>
          <w:color w:val="FF0000"/>
        </w:rPr>
      </w:pPr>
    </w:p>
    <w:sectPr w:rsidR="00492035" w:rsidSect="00C1642B">
      <w:headerReference w:type="default" r:id="rId12"/>
      <w:footerReference w:type="default" r:id="rId13"/>
      <w:pgSz w:w="11906" w:h="16838"/>
      <w:pgMar w:top="1440" w:right="1800" w:bottom="1440" w:left="180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50237" w14:textId="77777777" w:rsidR="00F02D5F" w:rsidRDefault="00F02D5F">
      <w:r>
        <w:separator/>
      </w:r>
    </w:p>
  </w:endnote>
  <w:endnote w:type="continuationSeparator" w:id="0">
    <w:p w14:paraId="54CDD598" w14:textId="77777777" w:rsidR="00F02D5F" w:rsidRDefault="00F0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1"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shd w:val="clear" w:color="auto" w:fill="DAEEF3"/>
      <w:tblLook w:val="01E0" w:firstRow="1" w:lastRow="1" w:firstColumn="1" w:lastColumn="1" w:noHBand="0" w:noVBand="0"/>
    </w:tblPr>
    <w:tblGrid>
      <w:gridCol w:w="1585"/>
      <w:gridCol w:w="1853"/>
      <w:gridCol w:w="270"/>
      <w:gridCol w:w="3150"/>
      <w:gridCol w:w="2353"/>
    </w:tblGrid>
    <w:tr w:rsidR="00AD409B" w:rsidRPr="00A04F09" w14:paraId="50FEEA97" w14:textId="77777777" w:rsidTr="008D3A65">
      <w:tc>
        <w:tcPr>
          <w:tcW w:w="1585" w:type="dxa"/>
          <w:shd w:val="clear" w:color="auto" w:fill="DAEEF3"/>
          <w:tcMar>
            <w:top w:w="28" w:type="dxa"/>
            <w:bottom w:w="28" w:type="dxa"/>
          </w:tcMar>
        </w:tcPr>
        <w:p w14:paraId="50FEEA92"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Ref</w:t>
          </w:r>
        </w:p>
      </w:tc>
      <w:tc>
        <w:tcPr>
          <w:tcW w:w="1853" w:type="dxa"/>
          <w:shd w:val="clear" w:color="auto" w:fill="DAEEF3"/>
          <w:tcMar>
            <w:top w:w="28" w:type="dxa"/>
            <w:bottom w:w="28" w:type="dxa"/>
          </w:tcMar>
        </w:tcPr>
        <w:p w14:paraId="50FEEA93" w14:textId="3345ED12" w:rsidR="00AD409B" w:rsidRPr="00A04F09" w:rsidRDefault="00E12EF5" w:rsidP="00A04F09">
          <w:pPr>
            <w:pStyle w:val="Footer"/>
            <w:tabs>
              <w:tab w:val="left" w:pos="945"/>
              <w:tab w:val="right" w:pos="9070"/>
            </w:tabs>
            <w:rPr>
              <w:rFonts w:cs="Arial"/>
              <w:sz w:val="16"/>
              <w:szCs w:val="16"/>
              <w:lang w:val="en-US"/>
            </w:rPr>
          </w:pPr>
          <w:r>
            <w:rPr>
              <w:rFonts w:cs="Arial"/>
              <w:sz w:val="16"/>
              <w:szCs w:val="16"/>
              <w:lang w:val="en-US"/>
            </w:rPr>
            <w:t>52</w:t>
          </w:r>
          <w:r w:rsidR="005E71DF">
            <w:rPr>
              <w:rFonts w:cs="Arial"/>
              <w:sz w:val="16"/>
              <w:szCs w:val="16"/>
              <w:lang w:val="en-US"/>
            </w:rPr>
            <w:t>-version 21/22 (1)</w:t>
          </w:r>
        </w:p>
      </w:tc>
      <w:tc>
        <w:tcPr>
          <w:tcW w:w="270" w:type="dxa"/>
          <w:tcBorders>
            <w:top w:val="nil"/>
            <w:bottom w:val="nil"/>
          </w:tcBorders>
          <w:shd w:val="clear" w:color="auto" w:fill="auto"/>
          <w:tcMar>
            <w:top w:w="28" w:type="dxa"/>
            <w:bottom w:w="28" w:type="dxa"/>
          </w:tcMar>
        </w:tcPr>
        <w:p w14:paraId="50FEEA94" w14:textId="77777777" w:rsidR="00AD409B" w:rsidRPr="00A04F09" w:rsidRDefault="00AD409B" w:rsidP="00A04F09">
          <w:pPr>
            <w:pStyle w:val="Footer"/>
            <w:tabs>
              <w:tab w:val="left" w:pos="945"/>
              <w:tab w:val="right" w:pos="9070"/>
            </w:tabs>
            <w:rPr>
              <w:rFonts w:cs="Arial"/>
              <w:sz w:val="16"/>
              <w:szCs w:val="16"/>
              <w:lang w:val="en-US"/>
            </w:rPr>
          </w:pPr>
        </w:p>
      </w:tc>
      <w:tc>
        <w:tcPr>
          <w:tcW w:w="3150" w:type="dxa"/>
          <w:shd w:val="clear" w:color="auto" w:fill="DAEEF3"/>
          <w:tcMar>
            <w:top w:w="28" w:type="dxa"/>
            <w:bottom w:w="28" w:type="dxa"/>
          </w:tcMar>
        </w:tcPr>
        <w:p w14:paraId="50FEEA95"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Postholder Responsible for Review</w:t>
          </w:r>
        </w:p>
      </w:tc>
      <w:tc>
        <w:tcPr>
          <w:tcW w:w="2353" w:type="dxa"/>
          <w:shd w:val="clear" w:color="auto" w:fill="DAEEF3"/>
          <w:tcMar>
            <w:top w:w="28" w:type="dxa"/>
            <w:bottom w:w="28" w:type="dxa"/>
          </w:tcMar>
        </w:tcPr>
        <w:p w14:paraId="50FEEA96" w14:textId="77777777" w:rsidR="00AD409B" w:rsidRPr="00A04F09" w:rsidRDefault="00AF7330" w:rsidP="00A04F09">
          <w:pPr>
            <w:pStyle w:val="Footer"/>
            <w:tabs>
              <w:tab w:val="left" w:pos="945"/>
              <w:tab w:val="right" w:pos="9070"/>
            </w:tabs>
            <w:rPr>
              <w:rFonts w:cs="Arial"/>
              <w:sz w:val="16"/>
              <w:szCs w:val="16"/>
              <w:lang w:val="en-US"/>
            </w:rPr>
          </w:pPr>
          <w:r w:rsidRPr="00A04F09">
            <w:rPr>
              <w:rFonts w:cs="Arial"/>
              <w:sz w:val="16"/>
              <w:szCs w:val="16"/>
              <w:lang w:val="en-US"/>
            </w:rPr>
            <w:t>Finance Director</w:t>
          </w:r>
        </w:p>
      </w:tc>
    </w:tr>
    <w:tr w:rsidR="00AD409B" w:rsidRPr="00A04F09" w14:paraId="50FEEA9D" w14:textId="77777777" w:rsidTr="008D3A65">
      <w:tc>
        <w:tcPr>
          <w:tcW w:w="1585" w:type="dxa"/>
          <w:shd w:val="clear" w:color="auto" w:fill="DAEEF3"/>
          <w:tcMar>
            <w:top w:w="28" w:type="dxa"/>
            <w:bottom w:w="28" w:type="dxa"/>
          </w:tcMar>
        </w:tcPr>
        <w:p w14:paraId="50FEEA98"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Issue Date</w:t>
          </w:r>
        </w:p>
      </w:tc>
      <w:tc>
        <w:tcPr>
          <w:tcW w:w="1853" w:type="dxa"/>
          <w:shd w:val="clear" w:color="auto" w:fill="DAEEF3"/>
          <w:tcMar>
            <w:top w:w="28" w:type="dxa"/>
            <w:bottom w:w="28" w:type="dxa"/>
          </w:tcMar>
        </w:tcPr>
        <w:p w14:paraId="50FEEA99" w14:textId="052AA0DA" w:rsidR="00AD409B" w:rsidRPr="00A04F09" w:rsidRDefault="00C1642B" w:rsidP="00C1642B">
          <w:pPr>
            <w:pStyle w:val="Footer"/>
            <w:tabs>
              <w:tab w:val="left" w:pos="945"/>
              <w:tab w:val="right" w:pos="9070"/>
            </w:tabs>
            <w:rPr>
              <w:rFonts w:cs="Arial"/>
              <w:sz w:val="16"/>
              <w:szCs w:val="16"/>
              <w:lang w:val="en-US"/>
            </w:rPr>
          </w:pPr>
          <w:r>
            <w:rPr>
              <w:rFonts w:cs="Arial"/>
              <w:sz w:val="16"/>
              <w:szCs w:val="16"/>
              <w:lang w:val="en-US"/>
            </w:rPr>
            <w:t>September</w:t>
          </w:r>
          <w:r w:rsidR="00576CFC">
            <w:rPr>
              <w:rFonts w:cs="Arial"/>
              <w:sz w:val="16"/>
              <w:szCs w:val="16"/>
              <w:lang w:val="en-US"/>
            </w:rPr>
            <w:t xml:space="preserve"> 201</w:t>
          </w:r>
          <w:r w:rsidR="006D28DF">
            <w:rPr>
              <w:rFonts w:cs="Arial"/>
              <w:sz w:val="16"/>
              <w:szCs w:val="16"/>
              <w:lang w:val="en-US"/>
            </w:rPr>
            <w:t>7</w:t>
          </w:r>
        </w:p>
      </w:tc>
      <w:tc>
        <w:tcPr>
          <w:tcW w:w="270" w:type="dxa"/>
          <w:tcBorders>
            <w:top w:val="nil"/>
            <w:bottom w:val="nil"/>
          </w:tcBorders>
          <w:shd w:val="clear" w:color="auto" w:fill="auto"/>
          <w:tcMar>
            <w:top w:w="28" w:type="dxa"/>
            <w:bottom w:w="28" w:type="dxa"/>
          </w:tcMar>
        </w:tcPr>
        <w:p w14:paraId="50FEEA9A" w14:textId="77777777" w:rsidR="00AD409B" w:rsidRPr="00A04F09" w:rsidRDefault="00AD409B" w:rsidP="00A04F09">
          <w:pPr>
            <w:pStyle w:val="Footer"/>
            <w:tabs>
              <w:tab w:val="left" w:pos="945"/>
              <w:tab w:val="right" w:pos="9070"/>
            </w:tabs>
            <w:rPr>
              <w:rFonts w:cs="Arial"/>
              <w:sz w:val="16"/>
              <w:szCs w:val="16"/>
              <w:lang w:val="en-US"/>
            </w:rPr>
          </w:pPr>
        </w:p>
      </w:tc>
      <w:tc>
        <w:tcPr>
          <w:tcW w:w="3150" w:type="dxa"/>
          <w:shd w:val="clear" w:color="auto" w:fill="DAEEF3"/>
          <w:tcMar>
            <w:top w:w="28" w:type="dxa"/>
            <w:bottom w:w="28" w:type="dxa"/>
          </w:tcMar>
        </w:tcPr>
        <w:p w14:paraId="50FEEA9B"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Review Date</w:t>
          </w:r>
        </w:p>
      </w:tc>
      <w:tc>
        <w:tcPr>
          <w:tcW w:w="2353" w:type="dxa"/>
          <w:shd w:val="clear" w:color="auto" w:fill="DAEEF3"/>
          <w:tcMar>
            <w:top w:w="28" w:type="dxa"/>
            <w:bottom w:w="28" w:type="dxa"/>
          </w:tcMar>
        </w:tcPr>
        <w:p w14:paraId="50FEEA9C" w14:textId="728BF5DE" w:rsidR="00AD409B" w:rsidRPr="00A04F09" w:rsidRDefault="00B63C94" w:rsidP="00095955">
          <w:pPr>
            <w:pStyle w:val="Footer"/>
            <w:tabs>
              <w:tab w:val="left" w:pos="945"/>
              <w:tab w:val="right" w:pos="9070"/>
            </w:tabs>
            <w:rPr>
              <w:rFonts w:cs="Arial"/>
              <w:sz w:val="16"/>
              <w:szCs w:val="16"/>
              <w:lang w:val="en-US"/>
            </w:rPr>
          </w:pPr>
          <w:r>
            <w:rPr>
              <w:rFonts w:cs="Arial"/>
              <w:sz w:val="16"/>
              <w:szCs w:val="16"/>
              <w:lang w:val="en-US"/>
            </w:rPr>
            <w:t>September</w:t>
          </w:r>
          <w:r w:rsidR="00F579AC" w:rsidRPr="00A04F09">
            <w:rPr>
              <w:rFonts w:cs="Arial"/>
              <w:sz w:val="16"/>
              <w:szCs w:val="16"/>
              <w:lang w:val="en-US"/>
            </w:rPr>
            <w:t xml:space="preserve"> 20</w:t>
          </w:r>
          <w:r w:rsidR="00095955">
            <w:rPr>
              <w:rFonts w:cs="Arial"/>
              <w:sz w:val="16"/>
              <w:szCs w:val="16"/>
              <w:lang w:val="en-US"/>
            </w:rPr>
            <w:t>2</w:t>
          </w:r>
          <w:r w:rsidR="005E71DF">
            <w:rPr>
              <w:rFonts w:cs="Arial"/>
              <w:sz w:val="16"/>
              <w:szCs w:val="16"/>
              <w:lang w:val="en-US"/>
            </w:rPr>
            <w:t>2</w:t>
          </w:r>
        </w:p>
      </w:tc>
    </w:tr>
    <w:tr w:rsidR="00AD409B" w:rsidRPr="00A04F09" w14:paraId="50FEEAA3" w14:textId="77777777" w:rsidTr="008D3A65">
      <w:tc>
        <w:tcPr>
          <w:tcW w:w="1585" w:type="dxa"/>
          <w:shd w:val="clear" w:color="auto" w:fill="DAEEF3"/>
          <w:tcMar>
            <w:top w:w="28" w:type="dxa"/>
            <w:bottom w:w="28" w:type="dxa"/>
          </w:tcMar>
        </w:tcPr>
        <w:p w14:paraId="50FEEA9E"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Issuing Authority</w:t>
          </w:r>
        </w:p>
      </w:tc>
      <w:tc>
        <w:tcPr>
          <w:tcW w:w="1853" w:type="dxa"/>
          <w:shd w:val="clear" w:color="auto" w:fill="DAEEF3"/>
          <w:tcMar>
            <w:top w:w="28" w:type="dxa"/>
            <w:bottom w:w="28" w:type="dxa"/>
          </w:tcMar>
        </w:tcPr>
        <w:p w14:paraId="50FEEA9F" w14:textId="77777777" w:rsidR="00AD409B" w:rsidRPr="00A04F09" w:rsidRDefault="00AD409B" w:rsidP="00A04F09">
          <w:pPr>
            <w:pStyle w:val="Footer"/>
            <w:tabs>
              <w:tab w:val="left" w:pos="945"/>
              <w:tab w:val="right" w:pos="9070"/>
            </w:tabs>
            <w:rPr>
              <w:rFonts w:cs="Arial"/>
              <w:sz w:val="16"/>
              <w:szCs w:val="16"/>
              <w:lang w:val="en-US"/>
            </w:rPr>
          </w:pPr>
          <w:r w:rsidRPr="00A04F09">
            <w:rPr>
              <w:rFonts w:cs="Arial"/>
              <w:sz w:val="16"/>
              <w:szCs w:val="16"/>
              <w:lang w:val="en-US"/>
            </w:rPr>
            <w:t>Corporation &amp; SMT</w:t>
          </w:r>
        </w:p>
      </w:tc>
      <w:tc>
        <w:tcPr>
          <w:tcW w:w="270" w:type="dxa"/>
          <w:tcBorders>
            <w:top w:val="nil"/>
            <w:bottom w:val="nil"/>
          </w:tcBorders>
          <w:shd w:val="clear" w:color="auto" w:fill="auto"/>
          <w:tcMar>
            <w:top w:w="28" w:type="dxa"/>
            <w:bottom w:w="28" w:type="dxa"/>
          </w:tcMar>
        </w:tcPr>
        <w:p w14:paraId="50FEEAA0" w14:textId="77777777" w:rsidR="00AD409B" w:rsidRPr="00A04F09" w:rsidRDefault="00AD409B" w:rsidP="00A04F09">
          <w:pPr>
            <w:pStyle w:val="Footer"/>
            <w:tabs>
              <w:tab w:val="left" w:pos="945"/>
              <w:tab w:val="right" w:pos="9070"/>
            </w:tabs>
            <w:rPr>
              <w:rFonts w:cs="Arial"/>
              <w:sz w:val="16"/>
              <w:szCs w:val="16"/>
              <w:lang w:val="en-US"/>
            </w:rPr>
          </w:pPr>
        </w:p>
      </w:tc>
      <w:tc>
        <w:tcPr>
          <w:tcW w:w="3150" w:type="dxa"/>
          <w:shd w:val="clear" w:color="auto" w:fill="DAEEF3"/>
          <w:tcMar>
            <w:top w:w="28" w:type="dxa"/>
            <w:bottom w:w="28" w:type="dxa"/>
          </w:tcMar>
        </w:tcPr>
        <w:p w14:paraId="50FEEAA1" w14:textId="77777777" w:rsidR="00AD409B" w:rsidRPr="00A04F09" w:rsidRDefault="00AD409B" w:rsidP="00A04F09">
          <w:pPr>
            <w:pStyle w:val="Footer"/>
            <w:tabs>
              <w:tab w:val="left" w:pos="945"/>
              <w:tab w:val="right" w:pos="9070"/>
            </w:tabs>
            <w:rPr>
              <w:rFonts w:cs="Arial"/>
              <w:b/>
              <w:sz w:val="16"/>
              <w:szCs w:val="16"/>
              <w:lang w:val="en-US"/>
            </w:rPr>
          </w:pPr>
          <w:r w:rsidRPr="00A04F09">
            <w:rPr>
              <w:rFonts w:cs="Arial"/>
              <w:b/>
              <w:sz w:val="16"/>
              <w:szCs w:val="16"/>
              <w:lang w:val="en-US"/>
            </w:rPr>
            <w:t>Primary Distribution</w:t>
          </w:r>
        </w:p>
      </w:tc>
      <w:tc>
        <w:tcPr>
          <w:tcW w:w="2353" w:type="dxa"/>
          <w:shd w:val="clear" w:color="auto" w:fill="DAEEF3"/>
          <w:tcMar>
            <w:top w:w="28" w:type="dxa"/>
            <w:bottom w:w="28" w:type="dxa"/>
          </w:tcMar>
        </w:tcPr>
        <w:p w14:paraId="50FEEAA2" w14:textId="38A6EFF8" w:rsidR="00AD409B" w:rsidRPr="00A04F09" w:rsidRDefault="00AD409B" w:rsidP="00A04F09">
          <w:pPr>
            <w:pStyle w:val="Footer"/>
            <w:tabs>
              <w:tab w:val="left" w:pos="945"/>
              <w:tab w:val="right" w:pos="9070"/>
            </w:tabs>
            <w:rPr>
              <w:rFonts w:cs="Arial"/>
              <w:sz w:val="16"/>
              <w:szCs w:val="16"/>
              <w:lang w:val="en-US"/>
            </w:rPr>
          </w:pPr>
          <w:r w:rsidRPr="00A04F09">
            <w:rPr>
              <w:rFonts w:cs="Arial"/>
              <w:sz w:val="16"/>
              <w:szCs w:val="16"/>
              <w:lang w:val="en-US"/>
            </w:rPr>
            <w:t xml:space="preserve">SMT / Intranet </w:t>
          </w:r>
          <w:r w:rsidR="008D3A65" w:rsidRPr="008D3A65">
            <w:rPr>
              <w:rFonts w:cs="Arial"/>
              <w:sz w:val="16"/>
              <w:szCs w:val="16"/>
              <w:lang w:val="en-US"/>
            </w:rPr>
            <w:t>/Website</w:t>
          </w:r>
        </w:p>
      </w:tc>
    </w:tr>
    <w:tr w:rsidR="00980498" w:rsidRPr="00A04F09" w14:paraId="30736B3F" w14:textId="77777777" w:rsidTr="008D3A65">
      <w:trPr>
        <w:gridAfter w:val="3"/>
        <w:wAfter w:w="5773" w:type="dxa"/>
        <w:trHeight w:val="88"/>
      </w:trPr>
      <w:tc>
        <w:tcPr>
          <w:tcW w:w="1585" w:type="dxa"/>
          <w:shd w:val="clear" w:color="auto" w:fill="DAEEF3"/>
          <w:tcMar>
            <w:top w:w="28" w:type="dxa"/>
            <w:bottom w:w="28" w:type="dxa"/>
          </w:tcMar>
        </w:tcPr>
        <w:p w14:paraId="08EA9415" w14:textId="71C92867" w:rsidR="00980498" w:rsidRPr="00A04F09" w:rsidRDefault="00980498" w:rsidP="00A04F09">
          <w:pPr>
            <w:pStyle w:val="Footer"/>
            <w:tabs>
              <w:tab w:val="left" w:pos="945"/>
              <w:tab w:val="right" w:pos="9070"/>
            </w:tabs>
            <w:rPr>
              <w:rFonts w:cs="Arial"/>
              <w:b/>
              <w:sz w:val="16"/>
              <w:szCs w:val="16"/>
              <w:lang w:val="en-US"/>
            </w:rPr>
          </w:pPr>
          <w:r>
            <w:rPr>
              <w:rFonts w:cs="Arial"/>
              <w:b/>
              <w:sz w:val="16"/>
              <w:szCs w:val="16"/>
              <w:lang w:val="en-US"/>
            </w:rPr>
            <w:t>Version</w:t>
          </w:r>
        </w:p>
      </w:tc>
      <w:tc>
        <w:tcPr>
          <w:tcW w:w="1853" w:type="dxa"/>
          <w:shd w:val="clear" w:color="auto" w:fill="DAEEF3"/>
          <w:tcMar>
            <w:top w:w="28" w:type="dxa"/>
            <w:bottom w:w="28" w:type="dxa"/>
          </w:tcMar>
        </w:tcPr>
        <w:p w14:paraId="2A3FA7F9" w14:textId="4D1FFCF1" w:rsidR="00980498" w:rsidRPr="00A04F09" w:rsidRDefault="00980498" w:rsidP="00A04F09">
          <w:pPr>
            <w:pStyle w:val="Footer"/>
            <w:tabs>
              <w:tab w:val="left" w:pos="945"/>
              <w:tab w:val="right" w:pos="9070"/>
            </w:tabs>
            <w:rPr>
              <w:rFonts w:cs="Arial"/>
              <w:sz w:val="16"/>
              <w:szCs w:val="16"/>
              <w:lang w:val="en-US"/>
            </w:rPr>
          </w:pPr>
          <w:r>
            <w:rPr>
              <w:rFonts w:cs="Arial"/>
              <w:sz w:val="16"/>
              <w:szCs w:val="16"/>
              <w:lang w:val="en-US"/>
            </w:rPr>
            <w:t>4</w:t>
          </w:r>
        </w:p>
      </w:tc>
    </w:tr>
  </w:tbl>
  <w:p w14:paraId="50FEEAA4" w14:textId="77777777" w:rsidR="00AD409B" w:rsidRDefault="00AD409B" w:rsidP="009B2194">
    <w:pPr>
      <w:pStyle w:val="Footer"/>
      <w:rPr>
        <w:sz w:val="16"/>
        <w:szCs w:val="16"/>
        <w:lang w:val="en-US"/>
      </w:rPr>
    </w:pPr>
  </w:p>
  <w:p w14:paraId="50FEEAA5" w14:textId="7B9AFD5E" w:rsidR="00AD409B" w:rsidRPr="00B8689E" w:rsidRDefault="00AD409B" w:rsidP="00B8689E">
    <w:pPr>
      <w:pStyle w:val="Footer"/>
      <w:jc w:val="right"/>
      <w:rPr>
        <w:sz w:val="16"/>
        <w:szCs w:val="16"/>
      </w:rPr>
    </w:pPr>
    <w:r w:rsidRPr="00B8689E">
      <w:rPr>
        <w:sz w:val="16"/>
        <w:szCs w:val="16"/>
        <w:lang w:val="en-US"/>
      </w:rPr>
      <w:t xml:space="preserve">Page </w:t>
    </w:r>
    <w:r w:rsidRPr="00B8689E">
      <w:rPr>
        <w:sz w:val="16"/>
        <w:szCs w:val="16"/>
        <w:lang w:val="en-US"/>
      </w:rPr>
      <w:fldChar w:fldCharType="begin"/>
    </w:r>
    <w:r w:rsidRPr="00B8689E">
      <w:rPr>
        <w:sz w:val="16"/>
        <w:szCs w:val="16"/>
        <w:lang w:val="en-US"/>
      </w:rPr>
      <w:instrText xml:space="preserve"> PAGE </w:instrText>
    </w:r>
    <w:r w:rsidRPr="00B8689E">
      <w:rPr>
        <w:sz w:val="16"/>
        <w:szCs w:val="16"/>
        <w:lang w:val="en-US"/>
      </w:rPr>
      <w:fldChar w:fldCharType="separate"/>
    </w:r>
    <w:r w:rsidR="008D57D1">
      <w:rPr>
        <w:noProof/>
        <w:sz w:val="16"/>
        <w:szCs w:val="16"/>
        <w:lang w:val="en-US"/>
      </w:rPr>
      <w:t>7</w:t>
    </w:r>
    <w:r w:rsidRPr="00B8689E">
      <w:rPr>
        <w:sz w:val="16"/>
        <w:szCs w:val="16"/>
        <w:lang w:val="en-US"/>
      </w:rPr>
      <w:fldChar w:fldCharType="end"/>
    </w:r>
    <w:r w:rsidRPr="00B8689E">
      <w:rPr>
        <w:sz w:val="16"/>
        <w:szCs w:val="16"/>
        <w:lang w:val="en-US"/>
      </w:rPr>
      <w:t xml:space="preserve"> of </w:t>
    </w:r>
    <w:r w:rsidRPr="00B8689E">
      <w:rPr>
        <w:sz w:val="16"/>
        <w:szCs w:val="16"/>
        <w:lang w:val="en-US"/>
      </w:rPr>
      <w:fldChar w:fldCharType="begin"/>
    </w:r>
    <w:r w:rsidRPr="00B8689E">
      <w:rPr>
        <w:sz w:val="16"/>
        <w:szCs w:val="16"/>
        <w:lang w:val="en-US"/>
      </w:rPr>
      <w:instrText xml:space="preserve"> NUMPAGES </w:instrText>
    </w:r>
    <w:r w:rsidRPr="00B8689E">
      <w:rPr>
        <w:sz w:val="16"/>
        <w:szCs w:val="16"/>
        <w:lang w:val="en-US"/>
      </w:rPr>
      <w:fldChar w:fldCharType="separate"/>
    </w:r>
    <w:r w:rsidR="008D57D1">
      <w:rPr>
        <w:noProof/>
        <w:sz w:val="16"/>
        <w:szCs w:val="16"/>
        <w:lang w:val="en-US"/>
      </w:rPr>
      <w:t>8</w:t>
    </w:r>
    <w:r w:rsidRPr="00B8689E">
      <w:rPr>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AFD5B" w14:textId="77777777" w:rsidR="00F02D5F" w:rsidRDefault="00F02D5F">
      <w:r>
        <w:separator/>
      </w:r>
    </w:p>
  </w:footnote>
  <w:footnote w:type="continuationSeparator" w:id="0">
    <w:p w14:paraId="1F615469" w14:textId="77777777" w:rsidR="00F02D5F" w:rsidRDefault="00F02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EA90" w14:textId="77777777" w:rsidR="00AD409B" w:rsidRPr="00375BA3" w:rsidRDefault="00AD409B" w:rsidP="00463573">
    <w:pPr>
      <w:pStyle w:val="Header"/>
      <w:rPr>
        <w:b/>
        <w:color w:val="31849B"/>
        <w:sz w:val="32"/>
        <w:szCs w:val="36"/>
      </w:rPr>
    </w:pPr>
    <w:r w:rsidRPr="00375BA3">
      <w:rPr>
        <w:b/>
        <w:color w:val="31849B"/>
        <w:sz w:val="32"/>
        <w:szCs w:val="36"/>
      </w:rPr>
      <w:t>P</w:t>
    </w:r>
    <w:r w:rsidR="00375BA3" w:rsidRPr="00375BA3">
      <w:rPr>
        <w:b/>
        <w:color w:val="31849B"/>
        <w:sz w:val="32"/>
        <w:szCs w:val="36"/>
      </w:rPr>
      <w:t xml:space="preserve">OLICY AND PROCEDURE </w:t>
    </w:r>
    <w:r w:rsidR="00E12EF5" w:rsidRPr="00375BA3">
      <w:rPr>
        <w:b/>
        <w:color w:val="31849B"/>
        <w:sz w:val="32"/>
        <w:szCs w:val="36"/>
      </w:rPr>
      <w:t>52</w:t>
    </w:r>
  </w:p>
  <w:p w14:paraId="50FEEA91" w14:textId="77777777" w:rsidR="00AD409B" w:rsidRPr="009B2194" w:rsidRDefault="00AD409B" w:rsidP="009B219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C06"/>
    <w:multiLevelType w:val="hybridMultilevel"/>
    <w:tmpl w:val="F1503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D4489"/>
    <w:multiLevelType w:val="hybridMultilevel"/>
    <w:tmpl w:val="12CA2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A582A"/>
    <w:multiLevelType w:val="hybridMultilevel"/>
    <w:tmpl w:val="1FAA3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6785F"/>
    <w:multiLevelType w:val="hybridMultilevel"/>
    <w:tmpl w:val="4EF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941A0"/>
    <w:multiLevelType w:val="hybridMultilevel"/>
    <w:tmpl w:val="C3307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39B6331"/>
    <w:multiLevelType w:val="hybridMultilevel"/>
    <w:tmpl w:val="284EB87A"/>
    <w:lvl w:ilvl="0" w:tplc="D5747132">
      <w:start w:val="1"/>
      <w:numFmt w:val="bullet"/>
      <w:lvlText w:val=""/>
      <w:lvlJc w:val="left"/>
      <w:pPr>
        <w:tabs>
          <w:tab w:val="num" w:pos="340"/>
        </w:tabs>
        <w:ind w:left="340" w:hanging="34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67781"/>
    <w:multiLevelType w:val="hybridMultilevel"/>
    <w:tmpl w:val="BAC4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1D6394"/>
    <w:multiLevelType w:val="hybridMultilevel"/>
    <w:tmpl w:val="74AC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D56E44"/>
    <w:multiLevelType w:val="hybridMultilevel"/>
    <w:tmpl w:val="FFEE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86041"/>
    <w:multiLevelType w:val="hybridMultilevel"/>
    <w:tmpl w:val="DC2AC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DE25C4"/>
    <w:multiLevelType w:val="hybridMultilevel"/>
    <w:tmpl w:val="2D207484"/>
    <w:lvl w:ilvl="0" w:tplc="D88C2C8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F673E6"/>
    <w:multiLevelType w:val="hybridMultilevel"/>
    <w:tmpl w:val="2298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54827"/>
    <w:multiLevelType w:val="hybridMultilevel"/>
    <w:tmpl w:val="A2FAFD26"/>
    <w:lvl w:ilvl="0" w:tplc="FBE04FE2">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12"/>
  </w:num>
  <w:num w:numId="7">
    <w:abstractNumId w:val="10"/>
  </w:num>
  <w:num w:numId="8">
    <w:abstractNumId w:val="8"/>
  </w:num>
  <w:num w:numId="9">
    <w:abstractNumId w:val="1"/>
  </w:num>
  <w:num w:numId="10">
    <w:abstractNumId w:val="7"/>
  </w:num>
  <w:num w:numId="11">
    <w:abstractNumId w:val="9"/>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01C"/>
    <w:rsid w:val="00061332"/>
    <w:rsid w:val="00066689"/>
    <w:rsid w:val="00095955"/>
    <w:rsid w:val="000D443E"/>
    <w:rsid w:val="000D4C92"/>
    <w:rsid w:val="000D6EEE"/>
    <w:rsid w:val="00103AD5"/>
    <w:rsid w:val="00125FA6"/>
    <w:rsid w:val="001534F9"/>
    <w:rsid w:val="00196CC4"/>
    <w:rsid w:val="001C2E2A"/>
    <w:rsid w:val="001C4C02"/>
    <w:rsid w:val="001E0D1C"/>
    <w:rsid w:val="001E129A"/>
    <w:rsid w:val="001F243E"/>
    <w:rsid w:val="001F6352"/>
    <w:rsid w:val="001F7E0E"/>
    <w:rsid w:val="00231B4B"/>
    <w:rsid w:val="0024016F"/>
    <w:rsid w:val="002577FA"/>
    <w:rsid w:val="00270148"/>
    <w:rsid w:val="00271F30"/>
    <w:rsid w:val="00282D4D"/>
    <w:rsid w:val="002A0510"/>
    <w:rsid w:val="002B53B4"/>
    <w:rsid w:val="002D0073"/>
    <w:rsid w:val="002D44C0"/>
    <w:rsid w:val="002D7A89"/>
    <w:rsid w:val="002E11AA"/>
    <w:rsid w:val="003172A8"/>
    <w:rsid w:val="00323C44"/>
    <w:rsid w:val="00364CC4"/>
    <w:rsid w:val="003743BC"/>
    <w:rsid w:val="00375BA3"/>
    <w:rsid w:val="003905A9"/>
    <w:rsid w:val="003A1A65"/>
    <w:rsid w:val="003C6B24"/>
    <w:rsid w:val="003D431C"/>
    <w:rsid w:val="003D5DE4"/>
    <w:rsid w:val="004054BF"/>
    <w:rsid w:val="00434132"/>
    <w:rsid w:val="0044402C"/>
    <w:rsid w:val="004473F1"/>
    <w:rsid w:val="004556D0"/>
    <w:rsid w:val="00455ECB"/>
    <w:rsid w:val="0046315C"/>
    <w:rsid w:val="00463573"/>
    <w:rsid w:val="00465909"/>
    <w:rsid w:val="00492035"/>
    <w:rsid w:val="004A6FB9"/>
    <w:rsid w:val="004C2EE9"/>
    <w:rsid w:val="004D48ED"/>
    <w:rsid w:val="00522875"/>
    <w:rsid w:val="005429E0"/>
    <w:rsid w:val="005513CE"/>
    <w:rsid w:val="00576CFC"/>
    <w:rsid w:val="005823D9"/>
    <w:rsid w:val="005D47E2"/>
    <w:rsid w:val="005D484D"/>
    <w:rsid w:val="005D56C3"/>
    <w:rsid w:val="005E71DF"/>
    <w:rsid w:val="005F76BA"/>
    <w:rsid w:val="006021AB"/>
    <w:rsid w:val="006160B6"/>
    <w:rsid w:val="00664230"/>
    <w:rsid w:val="0067279D"/>
    <w:rsid w:val="00673230"/>
    <w:rsid w:val="0068615F"/>
    <w:rsid w:val="00692F45"/>
    <w:rsid w:val="006A31F8"/>
    <w:rsid w:val="006B4047"/>
    <w:rsid w:val="006B72C2"/>
    <w:rsid w:val="006D0D87"/>
    <w:rsid w:val="006D28DF"/>
    <w:rsid w:val="006F1FA8"/>
    <w:rsid w:val="00701511"/>
    <w:rsid w:val="0070183A"/>
    <w:rsid w:val="00730064"/>
    <w:rsid w:val="00751A37"/>
    <w:rsid w:val="00766E7C"/>
    <w:rsid w:val="0077089C"/>
    <w:rsid w:val="00777127"/>
    <w:rsid w:val="00797A6E"/>
    <w:rsid w:val="007B3BCB"/>
    <w:rsid w:val="007C107F"/>
    <w:rsid w:val="007C71AA"/>
    <w:rsid w:val="007C7488"/>
    <w:rsid w:val="007D20E8"/>
    <w:rsid w:val="007D278E"/>
    <w:rsid w:val="007F5191"/>
    <w:rsid w:val="00852128"/>
    <w:rsid w:val="00862AE1"/>
    <w:rsid w:val="00866FE2"/>
    <w:rsid w:val="00867891"/>
    <w:rsid w:val="0087346F"/>
    <w:rsid w:val="00880D6A"/>
    <w:rsid w:val="008B2110"/>
    <w:rsid w:val="008B4242"/>
    <w:rsid w:val="008C1FE0"/>
    <w:rsid w:val="008D3A65"/>
    <w:rsid w:val="008D57D1"/>
    <w:rsid w:val="00901B98"/>
    <w:rsid w:val="00913A7C"/>
    <w:rsid w:val="00921900"/>
    <w:rsid w:val="00964B9E"/>
    <w:rsid w:val="00980498"/>
    <w:rsid w:val="009A0D38"/>
    <w:rsid w:val="009A0FE9"/>
    <w:rsid w:val="009B2194"/>
    <w:rsid w:val="009B4E1E"/>
    <w:rsid w:val="009E3098"/>
    <w:rsid w:val="00A04F09"/>
    <w:rsid w:val="00A1594C"/>
    <w:rsid w:val="00A335E4"/>
    <w:rsid w:val="00A37CBC"/>
    <w:rsid w:val="00A80D5A"/>
    <w:rsid w:val="00AA5F00"/>
    <w:rsid w:val="00AD2309"/>
    <w:rsid w:val="00AD409B"/>
    <w:rsid w:val="00AE0BD2"/>
    <w:rsid w:val="00AF7330"/>
    <w:rsid w:val="00B03384"/>
    <w:rsid w:val="00B32AC5"/>
    <w:rsid w:val="00B52464"/>
    <w:rsid w:val="00B63C94"/>
    <w:rsid w:val="00B80882"/>
    <w:rsid w:val="00B8689E"/>
    <w:rsid w:val="00B90AE4"/>
    <w:rsid w:val="00BA012D"/>
    <w:rsid w:val="00BC201C"/>
    <w:rsid w:val="00BC53C0"/>
    <w:rsid w:val="00BD026A"/>
    <w:rsid w:val="00BD7B14"/>
    <w:rsid w:val="00BE468D"/>
    <w:rsid w:val="00BE4F94"/>
    <w:rsid w:val="00BF3E3A"/>
    <w:rsid w:val="00C1642B"/>
    <w:rsid w:val="00C20929"/>
    <w:rsid w:val="00C26C2C"/>
    <w:rsid w:val="00C365DF"/>
    <w:rsid w:val="00C4720C"/>
    <w:rsid w:val="00C510CC"/>
    <w:rsid w:val="00C6089E"/>
    <w:rsid w:val="00C7495A"/>
    <w:rsid w:val="00CA63C8"/>
    <w:rsid w:val="00CD4BA9"/>
    <w:rsid w:val="00CD7A6F"/>
    <w:rsid w:val="00CE6C39"/>
    <w:rsid w:val="00CF435A"/>
    <w:rsid w:val="00D51025"/>
    <w:rsid w:val="00D746FA"/>
    <w:rsid w:val="00D7711A"/>
    <w:rsid w:val="00DB184D"/>
    <w:rsid w:val="00DC1FA8"/>
    <w:rsid w:val="00DE0D90"/>
    <w:rsid w:val="00DE4EAD"/>
    <w:rsid w:val="00E07408"/>
    <w:rsid w:val="00E12EF5"/>
    <w:rsid w:val="00E14018"/>
    <w:rsid w:val="00E17E73"/>
    <w:rsid w:val="00E34519"/>
    <w:rsid w:val="00E50B10"/>
    <w:rsid w:val="00E62279"/>
    <w:rsid w:val="00E64B82"/>
    <w:rsid w:val="00E70DE5"/>
    <w:rsid w:val="00E8290E"/>
    <w:rsid w:val="00EA0E31"/>
    <w:rsid w:val="00EB7A5D"/>
    <w:rsid w:val="00EC5B51"/>
    <w:rsid w:val="00EF1E92"/>
    <w:rsid w:val="00F02D5F"/>
    <w:rsid w:val="00F111DC"/>
    <w:rsid w:val="00F36D5C"/>
    <w:rsid w:val="00F579AC"/>
    <w:rsid w:val="00F64190"/>
    <w:rsid w:val="00F6749E"/>
    <w:rsid w:val="00F94B62"/>
    <w:rsid w:val="00F978EA"/>
    <w:rsid w:val="00FA11BA"/>
    <w:rsid w:val="00FA6617"/>
    <w:rsid w:val="00FE2A55"/>
    <w:rsid w:val="00FF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EE9C5"/>
  <w15:docId w15:val="{E9554179-CA98-41CE-93FA-E7AAE570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01C"/>
    <w:rPr>
      <w:rFonts w:ascii="Arial" w:hAnsi="Arial"/>
      <w:sz w:val="22"/>
      <w:lang w:eastAsia="en-US"/>
    </w:rPr>
  </w:style>
  <w:style w:type="paragraph" w:styleId="Heading1">
    <w:name w:val="heading 1"/>
    <w:basedOn w:val="Normal"/>
    <w:next w:val="Normal"/>
    <w:qFormat/>
    <w:rsid w:val="00BC201C"/>
    <w:pPr>
      <w:keepNext/>
      <w:outlineLvl w:val="0"/>
    </w:pPr>
    <w:rPr>
      <w:b/>
      <w:sz w:val="28"/>
    </w:rPr>
  </w:style>
  <w:style w:type="paragraph" w:styleId="Heading3">
    <w:name w:val="heading 3"/>
    <w:basedOn w:val="Normal"/>
    <w:next w:val="Normal"/>
    <w:link w:val="Heading3Char"/>
    <w:semiHidden/>
    <w:unhideWhenUsed/>
    <w:qFormat/>
    <w:rsid w:val="00375BA3"/>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01C"/>
    <w:pPr>
      <w:tabs>
        <w:tab w:val="center" w:pos="4153"/>
        <w:tab w:val="right" w:pos="8306"/>
      </w:tabs>
    </w:pPr>
  </w:style>
  <w:style w:type="paragraph" w:styleId="Footer">
    <w:name w:val="footer"/>
    <w:basedOn w:val="Normal"/>
    <w:rsid w:val="00BC201C"/>
    <w:pPr>
      <w:tabs>
        <w:tab w:val="center" w:pos="4153"/>
        <w:tab w:val="right" w:pos="8306"/>
      </w:tabs>
    </w:pPr>
  </w:style>
  <w:style w:type="paragraph" w:styleId="BalloonText">
    <w:name w:val="Balloon Text"/>
    <w:basedOn w:val="Normal"/>
    <w:semiHidden/>
    <w:rsid w:val="009A0FE9"/>
    <w:rPr>
      <w:rFonts w:ascii="Tahoma" w:hAnsi="Tahoma" w:cs="Tahoma"/>
      <w:sz w:val="16"/>
      <w:szCs w:val="16"/>
    </w:rPr>
  </w:style>
  <w:style w:type="table" w:styleId="TableGrid">
    <w:name w:val="Table Grid"/>
    <w:basedOn w:val="TableNormal"/>
    <w:rsid w:val="009B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B2194"/>
  </w:style>
  <w:style w:type="character" w:customStyle="1" w:styleId="Heading3Char">
    <w:name w:val="Heading 3 Char"/>
    <w:basedOn w:val="DefaultParagraphFont"/>
    <w:link w:val="Heading3"/>
    <w:semiHidden/>
    <w:rsid w:val="00375BA3"/>
    <w:rPr>
      <w:rFonts w:asciiTheme="majorHAnsi" w:eastAsiaTheme="majorEastAsia" w:hAnsiTheme="majorHAnsi" w:cstheme="majorBidi"/>
      <w:b/>
      <w:bCs/>
      <w:sz w:val="26"/>
      <w:szCs w:val="26"/>
      <w:lang w:eastAsia="en-US"/>
    </w:rPr>
  </w:style>
  <w:style w:type="character" w:styleId="Hyperlink">
    <w:name w:val="Hyperlink"/>
    <w:rsid w:val="00375BA3"/>
    <w:rPr>
      <w:color w:val="0000FF"/>
      <w:u w:val="single"/>
    </w:rPr>
  </w:style>
  <w:style w:type="paragraph" w:styleId="Caption">
    <w:name w:val="caption"/>
    <w:basedOn w:val="Normal"/>
    <w:next w:val="Normal"/>
    <w:semiHidden/>
    <w:unhideWhenUsed/>
    <w:qFormat/>
    <w:rsid w:val="00C510CC"/>
    <w:pPr>
      <w:spacing w:after="200"/>
    </w:pPr>
    <w:rPr>
      <w:b/>
      <w:bCs/>
      <w:color w:val="4F81BD" w:themeColor="accent1"/>
      <w:sz w:val="18"/>
      <w:szCs w:val="18"/>
    </w:rPr>
  </w:style>
  <w:style w:type="character" w:styleId="CommentReference">
    <w:name w:val="annotation reference"/>
    <w:basedOn w:val="DefaultParagraphFont"/>
    <w:rsid w:val="00C510CC"/>
    <w:rPr>
      <w:sz w:val="16"/>
      <w:szCs w:val="16"/>
    </w:rPr>
  </w:style>
  <w:style w:type="paragraph" w:styleId="CommentText">
    <w:name w:val="annotation text"/>
    <w:basedOn w:val="Normal"/>
    <w:link w:val="CommentTextChar"/>
    <w:rsid w:val="00C510CC"/>
    <w:rPr>
      <w:sz w:val="20"/>
    </w:rPr>
  </w:style>
  <w:style w:type="character" w:customStyle="1" w:styleId="CommentTextChar">
    <w:name w:val="Comment Text Char"/>
    <w:basedOn w:val="DefaultParagraphFont"/>
    <w:link w:val="CommentText"/>
    <w:rsid w:val="00C510CC"/>
    <w:rPr>
      <w:rFonts w:ascii="Arial" w:hAnsi="Arial"/>
      <w:lang w:eastAsia="en-US"/>
    </w:rPr>
  </w:style>
  <w:style w:type="paragraph" w:styleId="CommentSubject">
    <w:name w:val="annotation subject"/>
    <w:basedOn w:val="CommentText"/>
    <w:next w:val="CommentText"/>
    <w:link w:val="CommentSubjectChar"/>
    <w:rsid w:val="00C510CC"/>
    <w:rPr>
      <w:b/>
      <w:bCs/>
    </w:rPr>
  </w:style>
  <w:style w:type="character" w:customStyle="1" w:styleId="CommentSubjectChar">
    <w:name w:val="Comment Subject Char"/>
    <w:basedOn w:val="CommentTextChar"/>
    <w:link w:val="CommentSubject"/>
    <w:rsid w:val="00C510CC"/>
    <w:rPr>
      <w:rFonts w:ascii="Arial" w:hAnsi="Arial"/>
      <w:b/>
      <w:bCs/>
      <w:lang w:eastAsia="en-US"/>
    </w:rPr>
  </w:style>
  <w:style w:type="paragraph" w:styleId="ListParagraph">
    <w:name w:val="List Paragraph"/>
    <w:basedOn w:val="Normal"/>
    <w:uiPriority w:val="34"/>
    <w:qFormat/>
    <w:rsid w:val="00323C44"/>
    <w:pPr>
      <w:ind w:left="720"/>
      <w:contextualSpacing/>
    </w:pPr>
    <w:rPr>
      <w:rFonts w:ascii="Times New Roman" w:hAnsi="Times New Roman"/>
      <w:sz w:val="24"/>
      <w:szCs w:val="24"/>
      <w:lang w:eastAsia="en-GB"/>
    </w:rPr>
  </w:style>
  <w:style w:type="paragraph" w:customStyle="1" w:styleId="TableParagraph">
    <w:name w:val="Table Paragraph"/>
    <w:basedOn w:val="Normal"/>
    <w:uiPriority w:val="1"/>
    <w:qFormat/>
    <w:rsid w:val="00E62279"/>
    <w:pPr>
      <w:widowControl w:val="0"/>
      <w:ind w:left="103"/>
    </w:pPr>
    <w:rPr>
      <w:rFonts w:ascii="Calibri" w:eastAsia="Calibr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C65810F9CDE45A884382034990131" ma:contentTypeVersion="22" ma:contentTypeDescription="Create a new document." ma:contentTypeScope="" ma:versionID="bae0fd5f8473a591aae97a1ae9225371">
  <xsd:schema xmlns:xsd="http://www.w3.org/2001/XMLSchema" xmlns:xs="http://www.w3.org/2001/XMLSchema" xmlns:p="http://schemas.microsoft.com/office/2006/metadata/properties" xmlns:ns1="e9b30c5b-ed23-413b-8acc-e87e18250478" xmlns:ns3="9ba5b622-9bea-4e76-a9b4-81fbe07a55a2" xmlns:ns4="b8ba1014-f387-4088-8c34-c67e8d1a8198" targetNamespace="http://schemas.microsoft.com/office/2006/metadata/properties" ma:root="true" ma:fieldsID="69ab9e7c32bb9e7193882e927fde33c4" ns1:_="" ns3:_="" ns4:_="">
    <xsd:import namespace="e9b30c5b-ed23-413b-8acc-e87e18250478"/>
    <xsd:import namespace="9ba5b622-9bea-4e76-a9b4-81fbe07a55a2"/>
    <xsd:import namespace="b8ba1014-f387-4088-8c34-c67e8d1a8198"/>
    <xsd:element name="properties">
      <xsd:complexType>
        <xsd:sequence>
          <xsd:element name="documentManagement">
            <xsd:complexType>
              <xsd:all>
                <xsd:element ref="ns1:Number" minOccurs="0"/>
                <xsd:element ref="ns3:TaxCatchAll" minOccurs="0"/>
                <xsd:element ref="ns4:Date_x0020_Published" minOccurs="0"/>
                <xsd:element ref="ns4:Next_x0020_Review_x0020_Date" minOccurs="0"/>
                <xsd:element ref="ns1:MediaServiceMetadata" minOccurs="0"/>
                <xsd:element ref="ns1:MediaServiceFastMetadata" minOccurs="0"/>
                <xsd:element ref="ns1:d0de197855674e5996af72216adce2ca" minOccurs="0"/>
                <xsd:element ref="ns1:Responsibility" minOccurs="0"/>
                <xsd:element ref="ns1:MediaServiceAutoKeyPoints" minOccurs="0"/>
                <xsd:element ref="ns1:MediaServiceKeyPoints" minOccurs="0"/>
                <xsd:element ref="ns3:SharedWithUsers" minOccurs="0"/>
                <xsd:element ref="ns3:SharedWithDetails" minOccurs="0"/>
                <xsd:element ref="ns1:Status" minOccurs="0"/>
                <xsd:element ref="ns1:Assignedto" minOccurs="0"/>
                <xsd:element ref="ns1:Fro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30c5b-ed23-413b-8acc-e87e18250478" elementFormDefault="qualified">
    <xsd:import namespace="http://schemas.microsoft.com/office/2006/documentManagement/types"/>
    <xsd:import namespace="http://schemas.microsoft.com/office/infopath/2007/PartnerControls"/>
    <xsd:element name="Number" ma:index="0" nillable="true" ma:displayName="No." ma:decimals="0" ma:description="The number of the Policy or Procedure" ma:format="Dropdown" ma:internalName="Number" ma:percentage="FALSE">
      <xsd:simpleType>
        <xsd:restriction base="dms:Number"/>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d0de197855674e5996af72216adce2ca" ma:index="15" nillable="true" ma:taxonomy="true" ma:internalName="d0de197855674e5996af72216adce2ca" ma:taxonomyFieldName="Department" ma:displayName="Department" ma:default="" ma:fieldId="{d0de1978-5567-4e59-96af-72216adce2ca}" ma:sspId="b77a5276-fcfd-454d-98b2-15a882781041" ma:termSetId="8ed8c9ea-7052-4c1d-a4d7-b9c10bffea6f" ma:anchorId="00000000-0000-0000-0000-000000000000" ma:open="false" ma:isKeyword="false">
      <xsd:complexType>
        <xsd:sequence>
          <xsd:element ref="pc:Terms" minOccurs="0" maxOccurs="1"/>
        </xsd:sequence>
      </xsd:complexType>
    </xsd:element>
    <xsd:element name="Responsibility" ma:index="16" nillable="true" ma:displayName="Responsibility" ma:list="{60f6251b-7f93-4f8a-843f-e93871b6a10e}" ma:internalName="Responsibility" ma:showField="Title">
      <xsd:simpleType>
        <xsd:restriction base="dms:Lookup"/>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Pending Approval by Principal"/>
          <xsd:enumeration value="Outstanding"/>
          <xsd:enumeration value="Up to date"/>
          <xsd:enumeration value="Quality to Action"/>
          <xsd:enumeration value="Pending Approval by H&amp;S Committee"/>
        </xsd:restriction>
      </xsd:simpleType>
    </xsd:element>
    <xsd:element name="Assignedto" ma:index="22" nillable="true" ma:displayName="Responsible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rom" ma:index="23" nillable="true" ma:displayName="Require Approval from:" ma:format="Dropdown" ma:list="UserInfo" ma:SharePointGroup="0" ma:internalName="Fro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a5b622-9bea-4e76-a9b4-81fbe07a55a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d8fa65ed-ff4d-4c17-8992-24fc4e81ab76}" ma:internalName="TaxCatchAll" ma:showField="CatchAllData" ma:web="9ba5b622-9bea-4e76-a9b4-81fbe07a55a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ba1014-f387-4088-8c34-c67e8d1a8198" elementFormDefault="qualified">
    <xsd:import namespace="http://schemas.microsoft.com/office/2006/documentManagement/types"/>
    <xsd:import namespace="http://schemas.microsoft.com/office/infopath/2007/PartnerControls"/>
    <xsd:element name="Date_x0020_Published" ma:index="4" nillable="true" ma:displayName="Date Published" ma:description="The date the document, policy or procedure" ma:format="DateOnly" ma:internalName="Date_x0020_Published">
      <xsd:simpleType>
        <xsd:restriction base="dms:DateTime"/>
      </xsd:simpleType>
    </xsd:element>
    <xsd:element name="Next_x0020_Review_x0020_Date" ma:index="5" nillable="true" ma:displayName="Next Review Date" ma:description="The date the next review is du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_x0020_Published xmlns="b8ba1014-f387-4088-8c34-c67e8d1a8198">2021-08-23T23:00:00+00:00</Date_x0020_Published>
    <Next_x0020_Review_x0020_Date xmlns="b8ba1014-f387-4088-8c34-c67e8d1a8198">2022-09-03T23:00:00+00:00</Next_x0020_Review_x0020_Date>
    <TaxCatchAll xmlns="9ba5b622-9bea-4e76-a9b4-81fbe07a55a2">
      <Value>5</Value>
    </TaxCatchAll>
    <Number xmlns="e9b30c5b-ed23-413b-8acc-e87e18250478">52</Number>
    <Responsibility xmlns="e9b30c5b-ed23-413b-8acc-e87e18250478">5</Responsibility>
    <d0de197855674e5996af72216adce2ca xmlns="e9b30c5b-ed23-413b-8acc-e87e18250478">
      <Terms xmlns="http://schemas.microsoft.com/office/infopath/2007/PartnerControls">
        <TermInfo xmlns="http://schemas.microsoft.com/office/infopath/2007/PartnerControls">
          <TermName xmlns="http://schemas.microsoft.com/office/infopath/2007/PartnerControls">Finance Department</TermName>
          <TermId xmlns="http://schemas.microsoft.com/office/infopath/2007/PartnerControls">3e629538-c033-4eaf-8768-1724f2b9aef2</TermId>
        </TermInfo>
      </Terms>
    </d0de197855674e5996af72216adce2ca>
    <Status xmlns="e9b30c5b-ed23-413b-8acc-e87e18250478">Up to date</Status>
    <Assignedto xmlns="e9b30c5b-ed23-413b-8acc-e87e18250478">
      <UserInfo>
        <DisplayName>Paul.McCormack@oaklands.ac.uk</DisplayName>
        <AccountId>292</AccountId>
        <AccountType/>
      </UserInfo>
    </Assignedto>
    <From xmlns="e9b30c5b-ed23-413b-8acc-e87e18250478">
      <UserInfo>
        <DisplayName/>
        <AccountId xsi:nil="true"/>
        <AccountType/>
      </UserInfo>
    </From>
  </documentManagement>
</p:properties>
</file>

<file path=customXml/itemProps1.xml><?xml version="1.0" encoding="utf-8"?>
<ds:datastoreItem xmlns:ds="http://schemas.openxmlformats.org/officeDocument/2006/customXml" ds:itemID="{3456CE59-792D-40C2-A2A7-61F979646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30c5b-ed23-413b-8acc-e87e18250478"/>
    <ds:schemaRef ds:uri="9ba5b622-9bea-4e76-a9b4-81fbe07a55a2"/>
    <ds:schemaRef ds:uri="b8ba1014-f387-4088-8c34-c67e8d1a8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16661-CDD0-4296-A2D8-14E46CFC6277}">
  <ds:schemaRefs>
    <ds:schemaRef ds:uri="http://schemas.microsoft.com/sharepoint/v3/contenttype/forms"/>
  </ds:schemaRefs>
</ds:datastoreItem>
</file>

<file path=customXml/itemProps3.xml><?xml version="1.0" encoding="utf-8"?>
<ds:datastoreItem xmlns:ds="http://schemas.openxmlformats.org/officeDocument/2006/customXml" ds:itemID="{E77ED1A2-0C77-4AA3-9998-8CBF0333D975}">
  <ds:schemaRefs>
    <ds:schemaRef ds:uri="http://schemas.openxmlformats.org/officeDocument/2006/bibliography"/>
  </ds:schemaRefs>
</ds:datastoreItem>
</file>

<file path=customXml/itemProps4.xml><?xml version="1.0" encoding="utf-8"?>
<ds:datastoreItem xmlns:ds="http://schemas.openxmlformats.org/officeDocument/2006/customXml" ds:itemID="{DCAD32A4-27F1-4EB1-98A8-41813D7C6415}">
  <ds:schemaRefs>
    <ds:schemaRef ds:uri="http://schemas.microsoft.com/office/2006/metadata/properties"/>
    <ds:schemaRef ds:uri="http://schemas.microsoft.com/office/infopath/2007/PartnerControls"/>
    <ds:schemaRef ds:uri="b8ba1014-f387-4088-8c34-c67e8d1a8198"/>
    <ds:schemaRef ds:uri="9ba5b622-9bea-4e76-a9b4-81fbe07a55a2"/>
    <ds:schemaRef ds:uri="e9b30c5b-ed23-413b-8acc-e87e1825047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52 Student Fees Policy and Procedure with Refund Details</vt:lpstr>
    </vt:vector>
  </TitlesOfParts>
  <Company>Oaklands College</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Student Fees Policy and Procedure with Refund Details</dc:title>
  <dc:creator>ian.lennox</dc:creator>
  <cp:lastModifiedBy>Wendy Rayner</cp:lastModifiedBy>
  <cp:revision>4</cp:revision>
  <cp:lastPrinted>2017-01-30T13:45:00Z</cp:lastPrinted>
  <dcterms:created xsi:type="dcterms:W3CDTF">2021-09-20T14:37:00Z</dcterms:created>
  <dcterms:modified xsi:type="dcterms:W3CDTF">2021-09-21T10:14:00Z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lege Department">
    <vt:lpwstr>5;#Finance|8acee9d0-868b-41b4-a9c3-f6e8b3dbbb6b</vt:lpwstr>
  </property>
  <property fmtid="{D5CDD505-2E9C-101B-9397-08002B2CF9AE}" pid="3" name="ContentType">
    <vt:lpwstr>Document</vt:lpwstr>
  </property>
  <property fmtid="{D5CDD505-2E9C-101B-9397-08002B2CF9AE}" pid="4" name="Document Type">
    <vt:lpwstr>3</vt:lpwstr>
  </property>
  <property fmtid="{D5CDD505-2E9C-101B-9397-08002B2CF9AE}" pid="5" name="Impact Assessment Date">
    <vt:lpwstr>2010-06-24T00:00:00Z</vt:lpwstr>
  </property>
  <property fmtid="{D5CDD505-2E9C-101B-9397-08002B2CF9AE}" pid="6" name="ContentTypeId">
    <vt:lpwstr>0x01010012DC65810F9CDE45A884382034990131</vt:lpwstr>
  </property>
  <property fmtid="{D5CDD505-2E9C-101B-9397-08002B2CF9AE}" pid="7" name="Responsibility">
    <vt:lpwstr>70;#Director of Finance and Resources|8b3db108-3a81-4048-acde-6cd146897294</vt:lpwstr>
  </property>
  <property fmtid="{D5CDD505-2E9C-101B-9397-08002B2CF9AE}" pid="8" name="Department">
    <vt:lpwstr>5;#Finance Department|3e629538-c033-4eaf-8768-1724f2b9aef2</vt:lpwstr>
  </property>
</Properties>
</file>