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4CE9D" w14:textId="77777777" w:rsidR="00C95090" w:rsidRDefault="006642C9" w:rsidP="004F0DC1">
      <w:pPr>
        <w:ind w:left="540" w:hanging="540"/>
        <w:jc w:val="right"/>
        <w:rPr>
          <w:rFonts w:asciiTheme="minorHAnsi" w:hAnsiTheme="minorHAnsi" w:cs="Calibri"/>
          <w:b/>
          <w:sz w:val="32"/>
          <w:szCs w:val="32"/>
        </w:rPr>
      </w:pPr>
      <w:r w:rsidRPr="00996830">
        <w:rPr>
          <w:rFonts w:asciiTheme="minorHAnsi" w:hAnsiTheme="minorHAnsi" w:cs="Calibri"/>
          <w:b/>
          <w:noProof/>
          <w:sz w:val="32"/>
          <w:szCs w:val="32"/>
          <w:lang w:eastAsia="en-GB"/>
        </w:rPr>
        <w:drawing>
          <wp:inline distT="0" distB="0" distL="0" distR="0" wp14:anchorId="2E207044" wp14:editId="2D7F9A66">
            <wp:extent cx="2125980" cy="693420"/>
            <wp:effectExtent l="0" t="0" r="7620" b="0"/>
            <wp:docPr id="8" name="Picture 8" descr="\\oaksmffile01\StaffFolders\alison.belding\My Documents\My Pictures\Oaklands colour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aksmffile01\StaffFolders\alison.belding\My Documents\My Pictures\Oaklands colour logo 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5980" cy="693420"/>
                    </a:xfrm>
                    <a:prstGeom prst="rect">
                      <a:avLst/>
                    </a:prstGeom>
                    <a:noFill/>
                    <a:ln>
                      <a:noFill/>
                    </a:ln>
                  </pic:spPr>
                </pic:pic>
              </a:graphicData>
            </a:graphic>
          </wp:inline>
        </w:drawing>
      </w:r>
    </w:p>
    <w:p w14:paraId="4E4446AD" w14:textId="77777777" w:rsidR="00A41ECB" w:rsidRDefault="00A41ECB" w:rsidP="004F0DC1">
      <w:pPr>
        <w:ind w:left="540" w:hanging="540"/>
        <w:jc w:val="both"/>
        <w:rPr>
          <w:rFonts w:asciiTheme="minorHAnsi" w:hAnsiTheme="minorHAnsi" w:cstheme="minorHAnsi"/>
          <w:b/>
          <w:color w:val="31849B" w:themeColor="accent5" w:themeShade="BF"/>
          <w:sz w:val="36"/>
        </w:rPr>
      </w:pPr>
    </w:p>
    <w:p w14:paraId="69E72C28" w14:textId="729356BA" w:rsidR="0024625C" w:rsidRPr="004F0DC1" w:rsidRDefault="0024625C" w:rsidP="004F0DC1">
      <w:pPr>
        <w:ind w:left="540" w:hanging="540"/>
        <w:jc w:val="both"/>
        <w:rPr>
          <w:rFonts w:asciiTheme="minorHAnsi" w:hAnsiTheme="minorHAnsi" w:cstheme="minorHAnsi"/>
          <w:b/>
          <w:color w:val="31849B" w:themeColor="accent5" w:themeShade="BF"/>
          <w:sz w:val="36"/>
        </w:rPr>
      </w:pPr>
      <w:r w:rsidRPr="004F0DC1">
        <w:rPr>
          <w:rFonts w:asciiTheme="minorHAnsi" w:hAnsiTheme="minorHAnsi" w:cstheme="minorHAnsi"/>
          <w:b/>
          <w:color w:val="31849B" w:themeColor="accent5" w:themeShade="BF"/>
          <w:sz w:val="36"/>
        </w:rPr>
        <w:t xml:space="preserve">Freedom of Speech and </w:t>
      </w:r>
      <w:r w:rsidR="004F0DC1" w:rsidRPr="004F0DC1">
        <w:rPr>
          <w:rFonts w:asciiTheme="minorHAnsi" w:hAnsiTheme="minorHAnsi" w:cstheme="minorHAnsi"/>
          <w:b/>
          <w:color w:val="31849B" w:themeColor="accent5" w:themeShade="BF"/>
          <w:sz w:val="36"/>
        </w:rPr>
        <w:t>Visiting S</w:t>
      </w:r>
      <w:r w:rsidRPr="004F0DC1">
        <w:rPr>
          <w:rFonts w:asciiTheme="minorHAnsi" w:hAnsiTheme="minorHAnsi" w:cstheme="minorHAnsi"/>
          <w:b/>
          <w:color w:val="31849B" w:themeColor="accent5" w:themeShade="BF"/>
          <w:sz w:val="36"/>
        </w:rPr>
        <w:t xml:space="preserve">peakers Policy </w:t>
      </w:r>
      <w:r w:rsidR="00B64E5C">
        <w:rPr>
          <w:rFonts w:asciiTheme="minorHAnsi" w:hAnsiTheme="minorHAnsi" w:cstheme="minorHAnsi"/>
          <w:b/>
          <w:color w:val="31849B" w:themeColor="accent5" w:themeShade="BF"/>
          <w:sz w:val="36"/>
        </w:rPr>
        <w:t>202</w:t>
      </w:r>
      <w:r w:rsidR="00B94DD0">
        <w:rPr>
          <w:rFonts w:asciiTheme="minorHAnsi" w:hAnsiTheme="minorHAnsi" w:cstheme="minorHAnsi"/>
          <w:b/>
          <w:color w:val="31849B" w:themeColor="accent5" w:themeShade="BF"/>
          <w:sz w:val="36"/>
        </w:rPr>
        <w:t>1</w:t>
      </w:r>
      <w:r w:rsidR="00B64E5C">
        <w:rPr>
          <w:rFonts w:asciiTheme="minorHAnsi" w:hAnsiTheme="minorHAnsi" w:cstheme="minorHAnsi"/>
          <w:b/>
          <w:color w:val="31849B" w:themeColor="accent5" w:themeShade="BF"/>
          <w:sz w:val="36"/>
        </w:rPr>
        <w:t>/2</w:t>
      </w:r>
      <w:r w:rsidR="00B94DD0">
        <w:rPr>
          <w:rFonts w:asciiTheme="minorHAnsi" w:hAnsiTheme="minorHAnsi" w:cstheme="minorHAnsi"/>
          <w:b/>
          <w:color w:val="31849B" w:themeColor="accent5" w:themeShade="BF"/>
          <w:sz w:val="36"/>
        </w:rPr>
        <w:t>2</w:t>
      </w:r>
    </w:p>
    <w:p w14:paraId="6495F38A" w14:textId="77777777" w:rsidR="0024625C" w:rsidRDefault="0024625C" w:rsidP="004F0DC1">
      <w:pPr>
        <w:ind w:left="540" w:hanging="540"/>
        <w:jc w:val="both"/>
      </w:pPr>
    </w:p>
    <w:p w14:paraId="67ACDC62" w14:textId="77777777" w:rsidR="0024625C" w:rsidRPr="0024625C" w:rsidRDefault="0024625C" w:rsidP="004F0DC1">
      <w:pPr>
        <w:pStyle w:val="ListParagraph"/>
        <w:numPr>
          <w:ilvl w:val="0"/>
          <w:numId w:val="25"/>
        </w:numPr>
        <w:ind w:left="540" w:hanging="540"/>
        <w:jc w:val="both"/>
        <w:rPr>
          <w:rFonts w:asciiTheme="minorHAnsi" w:hAnsiTheme="minorHAnsi" w:cstheme="minorHAnsi"/>
          <w:b/>
          <w:sz w:val="22"/>
          <w:szCs w:val="22"/>
        </w:rPr>
      </w:pPr>
      <w:r w:rsidRPr="0049648F">
        <w:rPr>
          <w:rFonts w:asciiTheme="minorHAnsi" w:hAnsiTheme="minorHAnsi" w:cstheme="minorHAnsi"/>
          <w:b/>
          <w:color w:val="31849B" w:themeColor="accent5" w:themeShade="BF"/>
          <w:szCs w:val="22"/>
        </w:rPr>
        <w:t xml:space="preserve">Introduction, </w:t>
      </w:r>
      <w:proofErr w:type="gramStart"/>
      <w:r w:rsidRPr="0049648F">
        <w:rPr>
          <w:rFonts w:asciiTheme="minorHAnsi" w:hAnsiTheme="minorHAnsi" w:cstheme="minorHAnsi"/>
          <w:b/>
          <w:color w:val="31849B" w:themeColor="accent5" w:themeShade="BF"/>
          <w:szCs w:val="22"/>
        </w:rPr>
        <w:t>context</w:t>
      </w:r>
      <w:proofErr w:type="gramEnd"/>
      <w:r w:rsidRPr="0049648F">
        <w:rPr>
          <w:rFonts w:asciiTheme="minorHAnsi" w:hAnsiTheme="minorHAnsi" w:cstheme="minorHAnsi"/>
          <w:b/>
          <w:color w:val="31849B" w:themeColor="accent5" w:themeShade="BF"/>
          <w:szCs w:val="22"/>
        </w:rPr>
        <w:t xml:space="preserve"> and ethos</w:t>
      </w:r>
    </w:p>
    <w:p w14:paraId="6D8F80FA" w14:textId="77777777" w:rsidR="0024625C" w:rsidRPr="0024625C" w:rsidRDefault="0024625C" w:rsidP="004F0DC1">
      <w:pPr>
        <w:pStyle w:val="ListParagraph"/>
        <w:ind w:left="540" w:hanging="540"/>
        <w:jc w:val="both"/>
        <w:rPr>
          <w:rFonts w:asciiTheme="minorHAnsi" w:hAnsiTheme="minorHAnsi" w:cstheme="minorHAnsi"/>
          <w:sz w:val="22"/>
          <w:szCs w:val="22"/>
        </w:rPr>
      </w:pPr>
    </w:p>
    <w:p w14:paraId="3553EDCF" w14:textId="77777777" w:rsidR="0024625C" w:rsidRPr="0024625C" w:rsidRDefault="0024625C" w:rsidP="004F0DC1">
      <w:pPr>
        <w:pStyle w:val="ListParagraph"/>
        <w:numPr>
          <w:ilvl w:val="1"/>
          <w:numId w:val="25"/>
        </w:numPr>
        <w:ind w:left="540" w:hanging="540"/>
        <w:jc w:val="both"/>
        <w:rPr>
          <w:rFonts w:asciiTheme="minorHAnsi" w:hAnsiTheme="minorHAnsi" w:cstheme="minorHAnsi"/>
          <w:sz w:val="22"/>
          <w:szCs w:val="22"/>
        </w:rPr>
      </w:pPr>
      <w:r w:rsidRPr="0024625C">
        <w:rPr>
          <w:rFonts w:asciiTheme="minorHAnsi" w:hAnsiTheme="minorHAnsi" w:cstheme="minorHAnsi"/>
          <w:sz w:val="22"/>
          <w:szCs w:val="22"/>
        </w:rPr>
        <w:t>As a College we want to make sure that we provide the best education and opportunities to learn through effective engagement with external speakers and organisations.</w:t>
      </w:r>
    </w:p>
    <w:p w14:paraId="6FD6E2C2" w14:textId="77777777" w:rsidR="0024625C" w:rsidRPr="0024625C" w:rsidRDefault="0024625C" w:rsidP="004F0DC1">
      <w:pPr>
        <w:pStyle w:val="ListParagraph"/>
        <w:ind w:left="540" w:hanging="540"/>
        <w:jc w:val="both"/>
        <w:rPr>
          <w:rFonts w:asciiTheme="minorHAnsi" w:hAnsiTheme="minorHAnsi" w:cstheme="minorHAnsi"/>
          <w:sz w:val="22"/>
          <w:szCs w:val="22"/>
        </w:rPr>
      </w:pPr>
    </w:p>
    <w:p w14:paraId="21C60E09" w14:textId="77777777" w:rsidR="0024625C" w:rsidRPr="0024625C" w:rsidRDefault="0024625C" w:rsidP="004F0DC1">
      <w:pPr>
        <w:pStyle w:val="ListParagraph"/>
        <w:numPr>
          <w:ilvl w:val="1"/>
          <w:numId w:val="25"/>
        </w:numPr>
        <w:ind w:left="540" w:hanging="540"/>
        <w:jc w:val="both"/>
        <w:rPr>
          <w:rFonts w:asciiTheme="minorHAnsi" w:hAnsiTheme="minorHAnsi" w:cstheme="minorHAnsi"/>
          <w:sz w:val="22"/>
          <w:szCs w:val="22"/>
        </w:rPr>
      </w:pPr>
      <w:r w:rsidRPr="0024625C">
        <w:rPr>
          <w:rFonts w:asciiTheme="minorHAnsi" w:hAnsiTheme="minorHAnsi" w:cstheme="minorHAnsi"/>
          <w:sz w:val="22"/>
          <w:szCs w:val="22"/>
        </w:rPr>
        <w:t xml:space="preserve">Violent and non-violent extremism in the context of terrorism is of great concern within our liberal democracy where freedom of speech is quite rightly considered a fundamental right. The UN International Covenant on Civil and Political Rights guarantees the right to freedom of expression and freedom of opinion. The same convention also requires the prohibition of any advocacy of national, </w:t>
      </w:r>
      <w:proofErr w:type="gramStart"/>
      <w:r w:rsidRPr="0024625C">
        <w:rPr>
          <w:rFonts w:asciiTheme="minorHAnsi" w:hAnsiTheme="minorHAnsi" w:cstheme="minorHAnsi"/>
          <w:sz w:val="22"/>
          <w:szCs w:val="22"/>
        </w:rPr>
        <w:t>racial</w:t>
      </w:r>
      <w:proofErr w:type="gramEnd"/>
      <w:r w:rsidRPr="0024625C">
        <w:rPr>
          <w:rFonts w:asciiTheme="minorHAnsi" w:hAnsiTheme="minorHAnsi" w:cstheme="minorHAnsi"/>
          <w:sz w:val="22"/>
          <w:szCs w:val="22"/>
        </w:rPr>
        <w:t xml:space="preserve"> or religious hatred that constitutes incitement to discri</w:t>
      </w:r>
      <w:r w:rsidR="00D90390">
        <w:rPr>
          <w:rFonts w:asciiTheme="minorHAnsi" w:hAnsiTheme="minorHAnsi" w:cstheme="minorHAnsi"/>
          <w:sz w:val="22"/>
          <w:szCs w:val="22"/>
        </w:rPr>
        <w:t>mination, hostility or violence</w:t>
      </w:r>
      <w:r w:rsidRPr="0024625C">
        <w:rPr>
          <w:rFonts w:asciiTheme="minorHAnsi" w:hAnsiTheme="minorHAnsi" w:cstheme="minorHAnsi"/>
          <w:sz w:val="22"/>
          <w:szCs w:val="22"/>
        </w:rPr>
        <w:t>.</w:t>
      </w:r>
    </w:p>
    <w:p w14:paraId="461535ED" w14:textId="77777777" w:rsidR="0024625C" w:rsidRPr="0024625C" w:rsidRDefault="0024625C" w:rsidP="004F0DC1">
      <w:pPr>
        <w:ind w:left="540" w:hanging="540"/>
        <w:jc w:val="both"/>
        <w:rPr>
          <w:rFonts w:asciiTheme="minorHAnsi" w:hAnsiTheme="minorHAnsi" w:cstheme="minorHAnsi"/>
          <w:sz w:val="22"/>
          <w:szCs w:val="22"/>
        </w:rPr>
      </w:pPr>
    </w:p>
    <w:p w14:paraId="36C2A9F4" w14:textId="77777777" w:rsidR="0024625C" w:rsidRPr="0024625C" w:rsidRDefault="0024625C" w:rsidP="004F0DC1">
      <w:pPr>
        <w:pStyle w:val="ListParagraph"/>
        <w:numPr>
          <w:ilvl w:val="1"/>
          <w:numId w:val="25"/>
        </w:numPr>
        <w:ind w:left="540" w:hanging="540"/>
        <w:jc w:val="both"/>
        <w:rPr>
          <w:rFonts w:asciiTheme="minorHAnsi" w:hAnsiTheme="minorHAnsi" w:cstheme="minorHAnsi"/>
          <w:sz w:val="22"/>
          <w:szCs w:val="22"/>
        </w:rPr>
      </w:pPr>
      <w:r w:rsidRPr="0024625C">
        <w:rPr>
          <w:rFonts w:asciiTheme="minorHAnsi" w:hAnsiTheme="minorHAnsi" w:cstheme="minorHAnsi"/>
          <w:sz w:val="22"/>
          <w:szCs w:val="22"/>
        </w:rPr>
        <w:t>The Counter Terrorism and Security Act 2015 and the Prevent Duty</w:t>
      </w:r>
      <w:r w:rsidRPr="0024625C">
        <w:rPr>
          <w:rStyle w:val="FootnoteReference"/>
          <w:rFonts w:asciiTheme="minorHAnsi" w:hAnsiTheme="minorHAnsi" w:cstheme="minorHAnsi"/>
          <w:sz w:val="22"/>
          <w:szCs w:val="22"/>
        </w:rPr>
        <w:footnoteReference w:id="1"/>
      </w:r>
      <w:r w:rsidRPr="0024625C">
        <w:rPr>
          <w:rFonts w:asciiTheme="minorHAnsi" w:hAnsiTheme="minorHAnsi" w:cstheme="minorHAnsi"/>
          <w:sz w:val="22"/>
          <w:szCs w:val="22"/>
        </w:rPr>
        <w:t xml:space="preserve"> describes the College’s responsibility for preventing extremism ‘there is an important role for further education institutions…in helping prevent people being drawn into terrorism, which includes not just violent extremism but also non-violent extremism, which can create an atmosphere conducive to terrorism and can popularise views that terrorists exploit…</w:t>
      </w:r>
    </w:p>
    <w:p w14:paraId="18C7E419" w14:textId="77777777" w:rsidR="0024625C" w:rsidRDefault="0024625C" w:rsidP="004F0DC1">
      <w:pPr>
        <w:ind w:left="540"/>
        <w:jc w:val="both"/>
        <w:rPr>
          <w:rFonts w:asciiTheme="minorHAnsi" w:hAnsiTheme="minorHAnsi" w:cstheme="minorHAnsi"/>
          <w:sz w:val="22"/>
          <w:szCs w:val="22"/>
        </w:rPr>
      </w:pPr>
      <w:r w:rsidRPr="0024625C">
        <w:rPr>
          <w:rFonts w:asciiTheme="minorHAnsi" w:hAnsiTheme="minorHAnsi" w:cstheme="minorHAnsi"/>
          <w:sz w:val="22"/>
          <w:szCs w:val="22"/>
        </w:rPr>
        <w:t>‘…In order to comply with the duty all further education institutions should have policies and procedures in place for the management of events held on their premises…’</w:t>
      </w:r>
    </w:p>
    <w:p w14:paraId="47864BE1" w14:textId="77777777" w:rsidR="00C72797" w:rsidRPr="0024625C" w:rsidRDefault="00C72797" w:rsidP="004F0DC1">
      <w:pPr>
        <w:ind w:left="540" w:hanging="540"/>
        <w:jc w:val="both"/>
        <w:rPr>
          <w:rFonts w:asciiTheme="minorHAnsi" w:hAnsiTheme="minorHAnsi" w:cstheme="minorHAnsi"/>
          <w:sz w:val="22"/>
          <w:szCs w:val="22"/>
        </w:rPr>
      </w:pPr>
    </w:p>
    <w:p w14:paraId="0619C471" w14:textId="77777777" w:rsidR="0024625C" w:rsidRPr="0024625C" w:rsidRDefault="0024625C" w:rsidP="004F0DC1">
      <w:pPr>
        <w:pStyle w:val="ListParagraph"/>
        <w:numPr>
          <w:ilvl w:val="0"/>
          <w:numId w:val="25"/>
        </w:numPr>
        <w:ind w:left="540" w:hanging="540"/>
        <w:jc w:val="both"/>
        <w:rPr>
          <w:rFonts w:asciiTheme="minorHAnsi" w:hAnsiTheme="minorHAnsi" w:cstheme="minorHAnsi"/>
          <w:b/>
          <w:sz w:val="22"/>
          <w:szCs w:val="22"/>
        </w:rPr>
      </w:pPr>
      <w:r w:rsidRPr="0049648F">
        <w:rPr>
          <w:rFonts w:asciiTheme="minorHAnsi" w:hAnsiTheme="minorHAnsi" w:cstheme="minorHAnsi"/>
          <w:b/>
          <w:color w:val="31849B" w:themeColor="accent5" w:themeShade="BF"/>
          <w:szCs w:val="22"/>
        </w:rPr>
        <w:t>Terms and definitions</w:t>
      </w:r>
    </w:p>
    <w:p w14:paraId="2591E464" w14:textId="77777777" w:rsidR="0024625C" w:rsidRPr="0024625C" w:rsidRDefault="0024625C" w:rsidP="004F0DC1">
      <w:pPr>
        <w:pStyle w:val="ListParagraph"/>
        <w:ind w:left="540" w:hanging="540"/>
        <w:jc w:val="both"/>
        <w:rPr>
          <w:rFonts w:asciiTheme="minorHAnsi" w:hAnsiTheme="minorHAnsi" w:cstheme="minorHAnsi"/>
          <w:sz w:val="22"/>
          <w:szCs w:val="22"/>
        </w:rPr>
      </w:pPr>
    </w:p>
    <w:p w14:paraId="68F392CA" w14:textId="77777777" w:rsidR="0024625C" w:rsidRPr="0024625C" w:rsidRDefault="00D90390" w:rsidP="004F0DC1">
      <w:pPr>
        <w:pStyle w:val="ListParagraph"/>
        <w:numPr>
          <w:ilvl w:val="1"/>
          <w:numId w:val="25"/>
        </w:numPr>
        <w:ind w:left="540" w:hanging="540"/>
        <w:jc w:val="both"/>
        <w:rPr>
          <w:rFonts w:asciiTheme="minorHAnsi" w:hAnsiTheme="minorHAnsi" w:cstheme="minorHAnsi"/>
          <w:sz w:val="22"/>
          <w:szCs w:val="22"/>
        </w:rPr>
      </w:pPr>
      <w:r>
        <w:rPr>
          <w:rFonts w:asciiTheme="minorHAnsi" w:hAnsiTheme="minorHAnsi" w:cstheme="minorHAnsi"/>
          <w:sz w:val="22"/>
          <w:szCs w:val="22"/>
        </w:rPr>
        <w:t>The term ‘</w:t>
      </w:r>
      <w:r w:rsidR="0024625C" w:rsidRPr="0024625C">
        <w:rPr>
          <w:rFonts w:asciiTheme="minorHAnsi" w:hAnsiTheme="minorHAnsi" w:cstheme="minorHAnsi"/>
          <w:sz w:val="22"/>
          <w:szCs w:val="22"/>
        </w:rPr>
        <w:t>External Speaker</w:t>
      </w:r>
      <w:r>
        <w:rPr>
          <w:rFonts w:asciiTheme="minorHAnsi" w:hAnsiTheme="minorHAnsi" w:cstheme="minorHAnsi"/>
          <w:sz w:val="22"/>
          <w:szCs w:val="22"/>
        </w:rPr>
        <w:t>’</w:t>
      </w:r>
      <w:r w:rsidR="0024625C" w:rsidRPr="0024625C">
        <w:rPr>
          <w:rFonts w:asciiTheme="minorHAnsi" w:hAnsiTheme="minorHAnsi" w:cstheme="minorHAnsi"/>
          <w:sz w:val="22"/>
          <w:szCs w:val="22"/>
        </w:rPr>
        <w:t xml:space="preserve"> is used to describe an individual or organisation who is not a student or member of College staff</w:t>
      </w:r>
      <w:r>
        <w:rPr>
          <w:rFonts w:asciiTheme="minorHAnsi" w:hAnsiTheme="minorHAnsi" w:cstheme="minorHAnsi"/>
          <w:sz w:val="22"/>
          <w:szCs w:val="22"/>
        </w:rPr>
        <w:t>.</w:t>
      </w:r>
    </w:p>
    <w:p w14:paraId="63532DA4" w14:textId="77777777" w:rsidR="0024625C" w:rsidRPr="0024625C" w:rsidRDefault="0024625C" w:rsidP="004F0DC1">
      <w:pPr>
        <w:pStyle w:val="ListParagraph"/>
        <w:ind w:left="540" w:hanging="540"/>
        <w:jc w:val="both"/>
        <w:rPr>
          <w:rFonts w:asciiTheme="minorHAnsi" w:hAnsiTheme="minorHAnsi" w:cstheme="minorHAnsi"/>
          <w:sz w:val="22"/>
          <w:szCs w:val="22"/>
        </w:rPr>
      </w:pPr>
    </w:p>
    <w:p w14:paraId="090AD9C1" w14:textId="77777777" w:rsidR="0024625C" w:rsidRPr="0024625C" w:rsidRDefault="0024625C" w:rsidP="004F0DC1">
      <w:pPr>
        <w:pStyle w:val="ListParagraph"/>
        <w:numPr>
          <w:ilvl w:val="1"/>
          <w:numId w:val="25"/>
        </w:numPr>
        <w:ind w:left="540" w:hanging="540"/>
        <w:jc w:val="both"/>
        <w:rPr>
          <w:rFonts w:asciiTheme="minorHAnsi" w:hAnsiTheme="minorHAnsi" w:cstheme="minorHAnsi"/>
          <w:sz w:val="22"/>
          <w:szCs w:val="22"/>
        </w:rPr>
      </w:pPr>
      <w:r w:rsidRPr="0024625C">
        <w:rPr>
          <w:rFonts w:asciiTheme="minorHAnsi" w:hAnsiTheme="minorHAnsi" w:cstheme="minorHAnsi"/>
          <w:sz w:val="22"/>
          <w:szCs w:val="22"/>
        </w:rPr>
        <w:t xml:space="preserve">Presentation for the purpose of this document should be read to include all talks, debates, </w:t>
      </w:r>
      <w:proofErr w:type="gramStart"/>
      <w:r w:rsidRPr="0024625C">
        <w:rPr>
          <w:rFonts w:asciiTheme="minorHAnsi" w:hAnsiTheme="minorHAnsi" w:cstheme="minorHAnsi"/>
          <w:sz w:val="22"/>
          <w:szCs w:val="22"/>
        </w:rPr>
        <w:t>workshops</w:t>
      </w:r>
      <w:proofErr w:type="gramEnd"/>
      <w:r w:rsidRPr="0024625C">
        <w:rPr>
          <w:rFonts w:asciiTheme="minorHAnsi" w:hAnsiTheme="minorHAnsi" w:cstheme="minorHAnsi"/>
          <w:sz w:val="22"/>
          <w:szCs w:val="22"/>
        </w:rPr>
        <w:t xml:space="preserve"> and speeches.</w:t>
      </w:r>
    </w:p>
    <w:p w14:paraId="0050672E" w14:textId="77777777" w:rsidR="0024625C" w:rsidRPr="0024625C" w:rsidRDefault="0024625C" w:rsidP="004F0DC1">
      <w:pPr>
        <w:ind w:left="540" w:hanging="540"/>
        <w:jc w:val="both"/>
        <w:rPr>
          <w:rFonts w:asciiTheme="minorHAnsi" w:hAnsiTheme="minorHAnsi" w:cstheme="minorHAnsi"/>
          <w:sz w:val="22"/>
          <w:szCs w:val="22"/>
        </w:rPr>
      </w:pPr>
    </w:p>
    <w:p w14:paraId="27930DAE" w14:textId="77777777" w:rsidR="0024625C" w:rsidRPr="0024625C" w:rsidRDefault="0024625C" w:rsidP="004F0DC1">
      <w:pPr>
        <w:pStyle w:val="ListParagraph"/>
        <w:numPr>
          <w:ilvl w:val="1"/>
          <w:numId w:val="25"/>
        </w:numPr>
        <w:ind w:left="540" w:hanging="540"/>
        <w:jc w:val="both"/>
        <w:rPr>
          <w:rFonts w:asciiTheme="minorHAnsi" w:hAnsiTheme="minorHAnsi" w:cstheme="minorHAnsi"/>
          <w:sz w:val="22"/>
          <w:szCs w:val="22"/>
        </w:rPr>
      </w:pPr>
      <w:r w:rsidRPr="0024625C">
        <w:rPr>
          <w:rFonts w:asciiTheme="minorHAnsi" w:hAnsiTheme="minorHAnsi" w:cstheme="minorHAnsi"/>
          <w:sz w:val="22"/>
          <w:szCs w:val="22"/>
        </w:rPr>
        <w:t>Extremism: The Government’s Prevent Strategy2</w:t>
      </w:r>
      <w:r w:rsidRPr="0024625C">
        <w:rPr>
          <w:rStyle w:val="FootnoteReference"/>
          <w:rFonts w:asciiTheme="minorHAnsi" w:hAnsiTheme="minorHAnsi" w:cstheme="minorHAnsi"/>
          <w:sz w:val="22"/>
          <w:szCs w:val="22"/>
        </w:rPr>
        <w:footnoteReference w:id="2"/>
      </w:r>
      <w:r w:rsidRPr="0024625C">
        <w:rPr>
          <w:rFonts w:asciiTheme="minorHAnsi" w:hAnsiTheme="minorHAnsi" w:cstheme="minorHAnsi"/>
          <w:sz w:val="22"/>
          <w:szCs w:val="22"/>
        </w:rPr>
        <w:t xml:space="preserve"> </w:t>
      </w:r>
      <w:r w:rsidR="00D90390">
        <w:rPr>
          <w:rFonts w:asciiTheme="minorHAnsi" w:hAnsiTheme="minorHAnsi" w:cstheme="minorHAnsi"/>
          <w:sz w:val="22"/>
          <w:szCs w:val="22"/>
        </w:rPr>
        <w:t xml:space="preserve">(2011) describes extremism as: </w:t>
      </w:r>
      <w:r w:rsidRPr="0024625C">
        <w:rPr>
          <w:rFonts w:asciiTheme="minorHAnsi" w:hAnsiTheme="minorHAnsi" w:cstheme="minorHAnsi"/>
          <w:sz w:val="22"/>
          <w:szCs w:val="22"/>
        </w:rPr>
        <w:t>vocal or active opposition to fundamental British values, including democracy, the rule of law, individual liberty and mutual respect and tolerance of different faiths and beliefs. Also included in the Government’s definition of extremism are calls for the death of members of our armed forces, whether in this country or overseas. In the absence of a UK legal definition of extremism, this College guidance document uses the Prevent definition as a starting point to identify and mitigate risk to the public.</w:t>
      </w:r>
    </w:p>
    <w:p w14:paraId="10EE74A5" w14:textId="77777777" w:rsidR="0024625C" w:rsidRPr="0024625C" w:rsidRDefault="0024625C" w:rsidP="004F0DC1">
      <w:pPr>
        <w:ind w:left="540" w:hanging="540"/>
        <w:jc w:val="both"/>
        <w:rPr>
          <w:rFonts w:asciiTheme="minorHAnsi" w:hAnsiTheme="minorHAnsi" w:cstheme="minorHAnsi"/>
          <w:sz w:val="22"/>
          <w:szCs w:val="22"/>
        </w:rPr>
      </w:pPr>
    </w:p>
    <w:p w14:paraId="26FD8F19" w14:textId="77777777" w:rsidR="0024625C" w:rsidRPr="0049648F" w:rsidRDefault="0024625C" w:rsidP="004F0DC1">
      <w:pPr>
        <w:pStyle w:val="ListParagraph"/>
        <w:numPr>
          <w:ilvl w:val="0"/>
          <w:numId w:val="25"/>
        </w:numPr>
        <w:ind w:left="540" w:hanging="540"/>
        <w:jc w:val="both"/>
        <w:rPr>
          <w:rFonts w:asciiTheme="minorHAnsi" w:hAnsiTheme="minorHAnsi" w:cstheme="minorHAnsi"/>
          <w:b/>
          <w:color w:val="31849B" w:themeColor="accent5" w:themeShade="BF"/>
          <w:szCs w:val="22"/>
        </w:rPr>
      </w:pPr>
      <w:r w:rsidRPr="0049648F">
        <w:rPr>
          <w:rFonts w:asciiTheme="minorHAnsi" w:hAnsiTheme="minorHAnsi" w:cstheme="minorHAnsi"/>
          <w:b/>
          <w:color w:val="31849B" w:themeColor="accent5" w:themeShade="BF"/>
          <w:szCs w:val="22"/>
        </w:rPr>
        <w:t>Organising an External Speaker and Visitor Protocols</w:t>
      </w:r>
    </w:p>
    <w:p w14:paraId="68676B8D" w14:textId="77777777" w:rsidR="0024625C" w:rsidRPr="0024625C" w:rsidRDefault="0024625C" w:rsidP="004F0DC1">
      <w:pPr>
        <w:pStyle w:val="ListParagraph"/>
        <w:ind w:left="540" w:hanging="540"/>
        <w:jc w:val="both"/>
        <w:rPr>
          <w:rFonts w:asciiTheme="minorHAnsi" w:hAnsiTheme="minorHAnsi" w:cstheme="minorHAnsi"/>
          <w:sz w:val="22"/>
          <w:szCs w:val="22"/>
        </w:rPr>
      </w:pPr>
    </w:p>
    <w:p w14:paraId="6295E646" w14:textId="77777777" w:rsidR="0024625C" w:rsidRPr="0024625C" w:rsidRDefault="0024625C" w:rsidP="004F0DC1">
      <w:pPr>
        <w:pStyle w:val="ListParagraph"/>
        <w:numPr>
          <w:ilvl w:val="1"/>
          <w:numId w:val="25"/>
        </w:numPr>
        <w:ind w:left="540" w:hanging="540"/>
        <w:jc w:val="both"/>
        <w:rPr>
          <w:rFonts w:asciiTheme="minorHAnsi" w:hAnsiTheme="minorHAnsi" w:cstheme="minorHAnsi"/>
          <w:sz w:val="22"/>
          <w:szCs w:val="22"/>
        </w:rPr>
      </w:pPr>
      <w:r w:rsidRPr="0024625C">
        <w:rPr>
          <w:rFonts w:asciiTheme="minorHAnsi" w:hAnsiTheme="minorHAnsi" w:cstheme="minorHAnsi"/>
          <w:sz w:val="22"/>
          <w:szCs w:val="22"/>
        </w:rPr>
        <w:t>All events organised on behalf of the College with external speakers including those off site are captured in this guidance.</w:t>
      </w:r>
    </w:p>
    <w:p w14:paraId="2BAFF468" w14:textId="77777777" w:rsidR="0024625C" w:rsidRPr="0024625C" w:rsidRDefault="0024625C" w:rsidP="004F0DC1">
      <w:pPr>
        <w:pStyle w:val="ListParagraph"/>
        <w:ind w:left="540" w:hanging="540"/>
        <w:jc w:val="both"/>
        <w:rPr>
          <w:rFonts w:asciiTheme="minorHAnsi" w:hAnsiTheme="minorHAnsi" w:cstheme="minorHAnsi"/>
          <w:sz w:val="22"/>
          <w:szCs w:val="22"/>
        </w:rPr>
      </w:pPr>
    </w:p>
    <w:p w14:paraId="183FFF9E" w14:textId="77777777" w:rsidR="0024625C" w:rsidRPr="0024625C" w:rsidRDefault="0024625C" w:rsidP="004F0DC1">
      <w:pPr>
        <w:pStyle w:val="ListParagraph"/>
        <w:numPr>
          <w:ilvl w:val="1"/>
          <w:numId w:val="25"/>
        </w:numPr>
        <w:ind w:left="540" w:hanging="540"/>
        <w:jc w:val="both"/>
        <w:rPr>
          <w:rFonts w:asciiTheme="minorHAnsi" w:hAnsiTheme="minorHAnsi" w:cstheme="minorHAnsi"/>
          <w:sz w:val="22"/>
          <w:szCs w:val="22"/>
        </w:rPr>
      </w:pPr>
      <w:r w:rsidRPr="0024625C">
        <w:rPr>
          <w:rFonts w:asciiTheme="minorHAnsi" w:hAnsiTheme="minorHAnsi" w:cstheme="minorHAnsi"/>
          <w:sz w:val="22"/>
          <w:szCs w:val="22"/>
        </w:rPr>
        <w:t>All staff wishing to organise an external speaker or organisation to come in and speak to students must first discuss this with their line manager.</w:t>
      </w:r>
    </w:p>
    <w:p w14:paraId="6A3E0EF6" w14:textId="77777777" w:rsidR="0024625C" w:rsidRPr="0024625C" w:rsidRDefault="0024625C" w:rsidP="004F0DC1">
      <w:pPr>
        <w:pStyle w:val="ListParagraph"/>
        <w:ind w:left="540" w:hanging="540"/>
        <w:jc w:val="both"/>
        <w:rPr>
          <w:rFonts w:asciiTheme="minorHAnsi" w:hAnsiTheme="minorHAnsi" w:cstheme="minorHAnsi"/>
          <w:sz w:val="22"/>
          <w:szCs w:val="22"/>
        </w:rPr>
      </w:pPr>
    </w:p>
    <w:p w14:paraId="69D0E6E8" w14:textId="77777777" w:rsidR="0024625C" w:rsidRPr="0024625C" w:rsidRDefault="0024625C" w:rsidP="004F0DC1">
      <w:pPr>
        <w:pStyle w:val="ListParagraph"/>
        <w:numPr>
          <w:ilvl w:val="1"/>
          <w:numId w:val="25"/>
        </w:numPr>
        <w:ind w:left="540" w:hanging="540"/>
        <w:jc w:val="both"/>
        <w:rPr>
          <w:rFonts w:asciiTheme="minorHAnsi" w:hAnsiTheme="minorHAnsi" w:cstheme="minorHAnsi"/>
          <w:sz w:val="22"/>
          <w:szCs w:val="22"/>
        </w:rPr>
      </w:pPr>
      <w:r w:rsidRPr="0024625C">
        <w:rPr>
          <w:rFonts w:asciiTheme="minorHAnsi" w:hAnsiTheme="minorHAnsi" w:cstheme="minorHAnsi"/>
          <w:sz w:val="22"/>
          <w:szCs w:val="22"/>
        </w:rPr>
        <w:t xml:space="preserve">It is the duty of all staff to follow the College’s established Visitor Protocol for external speakers and ensure that all visitors are pre-booked, sign in at the appropriate reception area, </w:t>
      </w:r>
      <w:proofErr w:type="spellStart"/>
      <w:r w:rsidRPr="0024625C">
        <w:rPr>
          <w:rFonts w:asciiTheme="minorHAnsi" w:hAnsiTheme="minorHAnsi" w:cstheme="minorHAnsi"/>
          <w:sz w:val="22"/>
          <w:szCs w:val="22"/>
        </w:rPr>
        <w:t>wear</w:t>
      </w:r>
      <w:proofErr w:type="spellEnd"/>
      <w:r w:rsidRPr="0024625C">
        <w:rPr>
          <w:rFonts w:asciiTheme="minorHAnsi" w:hAnsiTheme="minorHAnsi" w:cstheme="minorHAnsi"/>
          <w:sz w:val="22"/>
          <w:szCs w:val="22"/>
        </w:rPr>
        <w:t xml:space="preserve"> visitors passes and are supervised at all times whilst on site.</w:t>
      </w:r>
    </w:p>
    <w:p w14:paraId="0E372F92" w14:textId="77777777" w:rsidR="0024625C" w:rsidRPr="0024625C" w:rsidRDefault="0024625C" w:rsidP="004F0DC1">
      <w:pPr>
        <w:pStyle w:val="ListParagraph"/>
        <w:ind w:left="540" w:hanging="540"/>
        <w:jc w:val="both"/>
        <w:rPr>
          <w:rFonts w:asciiTheme="minorHAnsi" w:hAnsiTheme="minorHAnsi" w:cstheme="minorHAnsi"/>
          <w:sz w:val="22"/>
          <w:szCs w:val="22"/>
        </w:rPr>
      </w:pPr>
    </w:p>
    <w:p w14:paraId="7628ACFB" w14:textId="77777777" w:rsidR="0024625C" w:rsidRPr="0024625C" w:rsidRDefault="0024625C" w:rsidP="004F0DC1">
      <w:pPr>
        <w:pStyle w:val="ListParagraph"/>
        <w:numPr>
          <w:ilvl w:val="1"/>
          <w:numId w:val="25"/>
        </w:numPr>
        <w:ind w:left="540" w:hanging="540"/>
        <w:jc w:val="both"/>
        <w:rPr>
          <w:rFonts w:asciiTheme="minorHAnsi" w:hAnsiTheme="minorHAnsi" w:cstheme="minorHAnsi"/>
          <w:sz w:val="22"/>
          <w:szCs w:val="22"/>
        </w:rPr>
      </w:pPr>
      <w:r w:rsidRPr="0024625C">
        <w:rPr>
          <w:rFonts w:asciiTheme="minorHAnsi" w:hAnsiTheme="minorHAnsi" w:cstheme="minorHAnsi"/>
          <w:sz w:val="22"/>
          <w:szCs w:val="22"/>
        </w:rPr>
        <w:t xml:space="preserve">It is the responsibility of the staff member, supported by their line manager, to appropriately research the speaker or organisation before agreeing to allow the external speaker </w:t>
      </w:r>
      <w:r w:rsidR="00C72797">
        <w:rPr>
          <w:rFonts w:asciiTheme="minorHAnsi" w:hAnsiTheme="minorHAnsi" w:cstheme="minorHAnsi"/>
          <w:sz w:val="22"/>
          <w:szCs w:val="22"/>
        </w:rPr>
        <w:t xml:space="preserve">to </w:t>
      </w:r>
      <w:r w:rsidRPr="0024625C">
        <w:rPr>
          <w:rFonts w:asciiTheme="minorHAnsi" w:hAnsiTheme="minorHAnsi" w:cstheme="minorHAnsi"/>
          <w:sz w:val="22"/>
          <w:szCs w:val="22"/>
        </w:rPr>
        <w:t>address students.</w:t>
      </w:r>
    </w:p>
    <w:p w14:paraId="11811B30" w14:textId="77777777" w:rsidR="0024625C" w:rsidRPr="0024625C" w:rsidRDefault="0024625C" w:rsidP="004F0DC1">
      <w:pPr>
        <w:pStyle w:val="ListParagraph"/>
        <w:ind w:left="540" w:hanging="540"/>
        <w:jc w:val="both"/>
        <w:rPr>
          <w:rFonts w:asciiTheme="minorHAnsi" w:hAnsiTheme="minorHAnsi" w:cstheme="minorHAnsi"/>
          <w:sz w:val="22"/>
          <w:szCs w:val="22"/>
        </w:rPr>
      </w:pPr>
    </w:p>
    <w:p w14:paraId="20FCB99C" w14:textId="77777777" w:rsidR="0024625C" w:rsidRPr="0024625C" w:rsidRDefault="0024625C" w:rsidP="004F0DC1">
      <w:pPr>
        <w:pStyle w:val="ListParagraph"/>
        <w:numPr>
          <w:ilvl w:val="1"/>
          <w:numId w:val="25"/>
        </w:numPr>
        <w:ind w:left="540" w:hanging="540"/>
        <w:jc w:val="both"/>
        <w:rPr>
          <w:rFonts w:asciiTheme="minorHAnsi" w:hAnsiTheme="minorHAnsi" w:cstheme="minorHAnsi"/>
          <w:sz w:val="22"/>
          <w:szCs w:val="22"/>
        </w:rPr>
      </w:pPr>
      <w:r w:rsidRPr="0024625C">
        <w:rPr>
          <w:rFonts w:asciiTheme="minorHAnsi" w:hAnsiTheme="minorHAnsi" w:cstheme="minorHAnsi"/>
          <w:sz w:val="22"/>
          <w:szCs w:val="22"/>
        </w:rPr>
        <w:t>Extra care should be given to speakers or organisations that make first contact.</w:t>
      </w:r>
    </w:p>
    <w:p w14:paraId="1A695FDA" w14:textId="77777777" w:rsidR="0024625C" w:rsidRPr="0024625C" w:rsidRDefault="0024625C" w:rsidP="004F0DC1">
      <w:pPr>
        <w:pStyle w:val="ListParagraph"/>
        <w:ind w:left="540" w:hanging="540"/>
        <w:jc w:val="both"/>
        <w:rPr>
          <w:rFonts w:asciiTheme="minorHAnsi" w:hAnsiTheme="minorHAnsi" w:cstheme="minorHAnsi"/>
          <w:sz w:val="22"/>
          <w:szCs w:val="22"/>
        </w:rPr>
      </w:pPr>
    </w:p>
    <w:p w14:paraId="578F014A" w14:textId="77777777" w:rsidR="0024625C" w:rsidRPr="0024625C" w:rsidRDefault="0024625C" w:rsidP="004F0DC1">
      <w:pPr>
        <w:pStyle w:val="ListParagraph"/>
        <w:numPr>
          <w:ilvl w:val="1"/>
          <w:numId w:val="25"/>
        </w:numPr>
        <w:ind w:left="540" w:hanging="540"/>
        <w:jc w:val="both"/>
        <w:rPr>
          <w:rFonts w:asciiTheme="minorHAnsi" w:hAnsiTheme="minorHAnsi" w:cstheme="minorHAnsi"/>
          <w:sz w:val="22"/>
          <w:szCs w:val="22"/>
        </w:rPr>
      </w:pPr>
      <w:r w:rsidRPr="0024625C">
        <w:rPr>
          <w:rFonts w:asciiTheme="minorHAnsi" w:hAnsiTheme="minorHAnsi" w:cstheme="minorHAnsi"/>
          <w:sz w:val="22"/>
          <w:szCs w:val="22"/>
        </w:rPr>
        <w:t>An agreement with the speaker and organisation they represent should always take place before the event in which the outline of the presentation is discussed and both parties understand the purpose and boundaries of the presentation. The speaker should be fully informed of the need to use appropriate language to address students and the educational level of students they will be addressing.</w:t>
      </w:r>
    </w:p>
    <w:p w14:paraId="24315E95" w14:textId="77777777" w:rsidR="0024625C" w:rsidRPr="0024625C" w:rsidRDefault="0024625C" w:rsidP="004F0DC1">
      <w:pPr>
        <w:pStyle w:val="ListParagraph"/>
        <w:ind w:left="540" w:hanging="540"/>
        <w:jc w:val="both"/>
        <w:rPr>
          <w:rFonts w:asciiTheme="minorHAnsi" w:hAnsiTheme="minorHAnsi" w:cstheme="minorHAnsi"/>
          <w:sz w:val="22"/>
          <w:szCs w:val="22"/>
        </w:rPr>
      </w:pPr>
    </w:p>
    <w:p w14:paraId="150646C9" w14:textId="6C1F9694" w:rsidR="0024625C" w:rsidRPr="0024625C" w:rsidRDefault="0024625C" w:rsidP="004F0DC1">
      <w:pPr>
        <w:pStyle w:val="ListParagraph"/>
        <w:numPr>
          <w:ilvl w:val="1"/>
          <w:numId w:val="25"/>
        </w:numPr>
        <w:ind w:left="540" w:hanging="540"/>
        <w:jc w:val="both"/>
        <w:rPr>
          <w:rFonts w:asciiTheme="minorHAnsi" w:hAnsiTheme="minorHAnsi" w:cstheme="minorHAnsi"/>
          <w:sz w:val="22"/>
          <w:szCs w:val="22"/>
        </w:rPr>
      </w:pPr>
      <w:r w:rsidRPr="0024625C">
        <w:rPr>
          <w:rFonts w:asciiTheme="minorHAnsi" w:hAnsiTheme="minorHAnsi" w:cstheme="minorHAnsi"/>
          <w:sz w:val="22"/>
          <w:szCs w:val="22"/>
        </w:rPr>
        <w:t>Where a presentation is likely to be distressing to some students, the staff member should inform the</w:t>
      </w:r>
      <w:r w:rsidR="00B64E5C">
        <w:rPr>
          <w:rFonts w:asciiTheme="minorHAnsi" w:hAnsiTheme="minorHAnsi" w:cstheme="minorHAnsi"/>
          <w:sz w:val="22"/>
          <w:szCs w:val="22"/>
        </w:rPr>
        <w:t xml:space="preserve"> Safeguarding and Wellbeing Manager </w:t>
      </w:r>
      <w:r w:rsidRPr="0024625C">
        <w:rPr>
          <w:rFonts w:asciiTheme="minorHAnsi" w:hAnsiTheme="minorHAnsi" w:cstheme="minorHAnsi"/>
          <w:sz w:val="22"/>
          <w:szCs w:val="22"/>
        </w:rPr>
        <w:t>to make sure members of staff from the Student Advice team can assist with any student affected by the issues discussed.</w:t>
      </w:r>
      <w:r w:rsidR="00C72797">
        <w:rPr>
          <w:rFonts w:asciiTheme="minorHAnsi" w:hAnsiTheme="minorHAnsi" w:cstheme="minorHAnsi"/>
          <w:sz w:val="22"/>
          <w:szCs w:val="22"/>
        </w:rPr>
        <w:t xml:space="preserve"> All students will be made aware beforehand if they do not wish to attend.</w:t>
      </w:r>
    </w:p>
    <w:p w14:paraId="2CD63987" w14:textId="77777777" w:rsidR="0024625C" w:rsidRPr="0024625C" w:rsidRDefault="0024625C" w:rsidP="004F0DC1">
      <w:pPr>
        <w:pStyle w:val="ListParagraph"/>
        <w:ind w:left="540" w:hanging="540"/>
        <w:jc w:val="both"/>
        <w:rPr>
          <w:rFonts w:asciiTheme="minorHAnsi" w:hAnsiTheme="minorHAnsi" w:cstheme="minorHAnsi"/>
          <w:sz w:val="22"/>
          <w:szCs w:val="22"/>
        </w:rPr>
      </w:pPr>
    </w:p>
    <w:p w14:paraId="3169C5D6" w14:textId="77777777" w:rsidR="0024625C" w:rsidRPr="0024625C" w:rsidRDefault="0024625C" w:rsidP="004F0DC1">
      <w:pPr>
        <w:pStyle w:val="ListParagraph"/>
        <w:numPr>
          <w:ilvl w:val="1"/>
          <w:numId w:val="25"/>
        </w:numPr>
        <w:ind w:left="540" w:hanging="540"/>
        <w:jc w:val="both"/>
        <w:rPr>
          <w:rFonts w:asciiTheme="minorHAnsi" w:hAnsiTheme="minorHAnsi" w:cstheme="minorHAnsi"/>
          <w:sz w:val="22"/>
          <w:szCs w:val="22"/>
        </w:rPr>
      </w:pPr>
      <w:r w:rsidRPr="0024625C">
        <w:rPr>
          <w:rFonts w:asciiTheme="minorHAnsi" w:hAnsiTheme="minorHAnsi" w:cstheme="minorHAnsi"/>
          <w:sz w:val="22"/>
          <w:szCs w:val="22"/>
        </w:rPr>
        <w:t>Where a presentation is likely to be seen as controversial or addresses topics of religion or politics, extra consideration must be given in consultation with a Head of Department before agreeing to the presentation. Consideration should not just be given to the content of the presentation but also to the individual who attends, for example the risk of someone high profile.</w:t>
      </w:r>
    </w:p>
    <w:p w14:paraId="41D77BC2" w14:textId="77777777" w:rsidR="0024625C" w:rsidRPr="0024625C" w:rsidRDefault="0024625C" w:rsidP="004F0DC1">
      <w:pPr>
        <w:pStyle w:val="ListParagraph"/>
        <w:ind w:left="540" w:hanging="540"/>
        <w:jc w:val="both"/>
        <w:rPr>
          <w:rFonts w:asciiTheme="minorHAnsi" w:hAnsiTheme="minorHAnsi" w:cstheme="minorHAnsi"/>
          <w:sz w:val="22"/>
          <w:szCs w:val="22"/>
        </w:rPr>
      </w:pPr>
    </w:p>
    <w:p w14:paraId="02B3933A" w14:textId="77777777" w:rsidR="0024625C" w:rsidRPr="0024625C" w:rsidRDefault="0024625C" w:rsidP="004F0DC1">
      <w:pPr>
        <w:pStyle w:val="ListParagraph"/>
        <w:numPr>
          <w:ilvl w:val="1"/>
          <w:numId w:val="25"/>
        </w:numPr>
        <w:ind w:left="540" w:hanging="540"/>
        <w:jc w:val="both"/>
        <w:rPr>
          <w:rFonts w:asciiTheme="minorHAnsi" w:hAnsiTheme="minorHAnsi" w:cstheme="minorHAnsi"/>
          <w:sz w:val="22"/>
          <w:szCs w:val="22"/>
        </w:rPr>
      </w:pPr>
      <w:r w:rsidRPr="0024625C">
        <w:rPr>
          <w:rFonts w:asciiTheme="minorHAnsi" w:hAnsiTheme="minorHAnsi" w:cstheme="minorHAnsi"/>
          <w:sz w:val="22"/>
          <w:szCs w:val="22"/>
        </w:rPr>
        <w:t xml:space="preserve">Where additional support is required to judge the appropriateness of the presentation or speaker, the </w:t>
      </w:r>
      <w:r w:rsidR="00C72797">
        <w:rPr>
          <w:rFonts w:asciiTheme="minorHAnsi" w:hAnsiTheme="minorHAnsi" w:cstheme="minorHAnsi"/>
          <w:sz w:val="22"/>
          <w:szCs w:val="22"/>
        </w:rPr>
        <w:t>Head of Department/Line Manager</w:t>
      </w:r>
      <w:r w:rsidRPr="0024625C">
        <w:rPr>
          <w:rFonts w:asciiTheme="minorHAnsi" w:hAnsiTheme="minorHAnsi" w:cstheme="minorHAnsi"/>
          <w:sz w:val="22"/>
          <w:szCs w:val="22"/>
        </w:rPr>
        <w:t xml:space="preserve"> in all instances contact a member of the S</w:t>
      </w:r>
      <w:r w:rsidR="00C72797">
        <w:rPr>
          <w:rFonts w:asciiTheme="minorHAnsi" w:hAnsiTheme="minorHAnsi" w:cstheme="minorHAnsi"/>
          <w:sz w:val="22"/>
          <w:szCs w:val="22"/>
        </w:rPr>
        <w:t xml:space="preserve">enior </w:t>
      </w:r>
      <w:r w:rsidRPr="0024625C">
        <w:rPr>
          <w:rFonts w:asciiTheme="minorHAnsi" w:hAnsiTheme="minorHAnsi" w:cstheme="minorHAnsi"/>
          <w:sz w:val="22"/>
          <w:szCs w:val="22"/>
        </w:rPr>
        <w:t>L</w:t>
      </w:r>
      <w:r w:rsidR="00C72797">
        <w:rPr>
          <w:rFonts w:asciiTheme="minorHAnsi" w:hAnsiTheme="minorHAnsi" w:cstheme="minorHAnsi"/>
          <w:sz w:val="22"/>
          <w:szCs w:val="22"/>
        </w:rPr>
        <w:t>eadership team</w:t>
      </w:r>
      <w:r w:rsidRPr="0024625C">
        <w:rPr>
          <w:rFonts w:asciiTheme="minorHAnsi" w:hAnsiTheme="minorHAnsi" w:cstheme="minorHAnsi"/>
          <w:sz w:val="22"/>
          <w:szCs w:val="22"/>
        </w:rPr>
        <w:t xml:space="preserve"> to make a formal decision around the appropriateness of the presentation or talk.</w:t>
      </w:r>
    </w:p>
    <w:p w14:paraId="7F3EA047" w14:textId="4E79FAA7" w:rsidR="00C72797" w:rsidRDefault="00C72797" w:rsidP="004F0DC1">
      <w:pPr>
        <w:pStyle w:val="ListParagraph"/>
        <w:ind w:left="540" w:hanging="540"/>
        <w:jc w:val="both"/>
        <w:rPr>
          <w:rFonts w:asciiTheme="minorHAnsi" w:hAnsiTheme="minorHAnsi" w:cstheme="minorHAnsi"/>
          <w:sz w:val="22"/>
          <w:szCs w:val="22"/>
        </w:rPr>
      </w:pPr>
    </w:p>
    <w:p w14:paraId="3D0952FF" w14:textId="77777777" w:rsidR="00A41ECB" w:rsidRPr="0024625C" w:rsidRDefault="00A41ECB" w:rsidP="004F0DC1">
      <w:pPr>
        <w:pStyle w:val="ListParagraph"/>
        <w:ind w:left="540" w:hanging="540"/>
        <w:jc w:val="both"/>
        <w:rPr>
          <w:rFonts w:asciiTheme="minorHAnsi" w:hAnsiTheme="minorHAnsi" w:cstheme="minorHAnsi"/>
          <w:sz w:val="22"/>
          <w:szCs w:val="22"/>
        </w:rPr>
      </w:pPr>
    </w:p>
    <w:p w14:paraId="2097CD4A" w14:textId="77777777" w:rsidR="00C72797" w:rsidRPr="0049648F" w:rsidRDefault="00C72797" w:rsidP="004F0DC1">
      <w:pPr>
        <w:pStyle w:val="ListParagraph"/>
        <w:numPr>
          <w:ilvl w:val="0"/>
          <w:numId w:val="25"/>
        </w:numPr>
        <w:ind w:left="540" w:hanging="540"/>
        <w:jc w:val="both"/>
        <w:rPr>
          <w:rFonts w:asciiTheme="minorHAnsi" w:hAnsiTheme="minorHAnsi" w:cstheme="minorHAnsi"/>
          <w:b/>
          <w:color w:val="31849B" w:themeColor="accent5" w:themeShade="BF"/>
          <w:szCs w:val="22"/>
        </w:rPr>
      </w:pPr>
      <w:r w:rsidRPr="0049648F">
        <w:rPr>
          <w:rFonts w:asciiTheme="minorHAnsi" w:hAnsiTheme="minorHAnsi" w:cstheme="minorHAnsi"/>
          <w:b/>
          <w:color w:val="31849B" w:themeColor="accent5" w:themeShade="BF"/>
          <w:szCs w:val="22"/>
        </w:rPr>
        <w:t>Making the decision on speakers</w:t>
      </w:r>
    </w:p>
    <w:p w14:paraId="7AAB4F58" w14:textId="77777777" w:rsidR="00C72797" w:rsidRDefault="00C72797" w:rsidP="004F0DC1">
      <w:pPr>
        <w:pStyle w:val="ListParagraph"/>
        <w:ind w:left="540" w:hanging="540"/>
        <w:jc w:val="both"/>
        <w:rPr>
          <w:rFonts w:asciiTheme="minorHAnsi" w:hAnsiTheme="minorHAnsi" w:cstheme="minorHAnsi"/>
          <w:sz w:val="22"/>
          <w:szCs w:val="22"/>
        </w:rPr>
      </w:pPr>
    </w:p>
    <w:p w14:paraId="190FDD67" w14:textId="77777777" w:rsidR="0024625C" w:rsidRDefault="0024625C" w:rsidP="004F0DC1">
      <w:pPr>
        <w:pStyle w:val="ListParagraph"/>
        <w:numPr>
          <w:ilvl w:val="1"/>
          <w:numId w:val="25"/>
        </w:numPr>
        <w:ind w:left="540" w:hanging="540"/>
        <w:jc w:val="both"/>
        <w:rPr>
          <w:rFonts w:asciiTheme="minorHAnsi" w:hAnsiTheme="minorHAnsi" w:cstheme="minorHAnsi"/>
          <w:sz w:val="22"/>
          <w:szCs w:val="22"/>
        </w:rPr>
      </w:pPr>
      <w:r w:rsidRPr="00C72797">
        <w:rPr>
          <w:rFonts w:asciiTheme="minorHAnsi" w:hAnsiTheme="minorHAnsi" w:cstheme="minorHAnsi"/>
          <w:sz w:val="22"/>
          <w:szCs w:val="22"/>
        </w:rPr>
        <w:t>In situations where the presentation is on religion, politics or controversial issues and the speaker is unable to attend at short notice and instead offers an alternati</w:t>
      </w:r>
      <w:r w:rsidR="004E497C">
        <w:rPr>
          <w:rFonts w:asciiTheme="minorHAnsi" w:hAnsiTheme="minorHAnsi" w:cstheme="minorHAnsi"/>
          <w:sz w:val="22"/>
          <w:szCs w:val="22"/>
        </w:rPr>
        <w:t>ve speaker, without giving the C</w:t>
      </w:r>
      <w:r w:rsidRPr="00C72797">
        <w:rPr>
          <w:rFonts w:asciiTheme="minorHAnsi" w:hAnsiTheme="minorHAnsi" w:cstheme="minorHAnsi"/>
          <w:sz w:val="22"/>
          <w:szCs w:val="22"/>
        </w:rPr>
        <w:t>ollege time to consider the new speaker, the presentation must not proceed.</w:t>
      </w:r>
    </w:p>
    <w:p w14:paraId="10AD8AC4" w14:textId="29C1CA98" w:rsidR="00C72797" w:rsidRDefault="00C72797" w:rsidP="004F0DC1">
      <w:pPr>
        <w:pStyle w:val="ListParagraph"/>
        <w:ind w:left="540" w:hanging="540"/>
        <w:jc w:val="both"/>
        <w:rPr>
          <w:rFonts w:asciiTheme="minorHAnsi" w:hAnsiTheme="minorHAnsi" w:cstheme="minorHAnsi"/>
          <w:sz w:val="22"/>
          <w:szCs w:val="22"/>
        </w:rPr>
      </w:pPr>
    </w:p>
    <w:p w14:paraId="0A85E76A" w14:textId="77777777" w:rsidR="00A41ECB" w:rsidRPr="00C72797" w:rsidRDefault="00A41ECB" w:rsidP="004F0DC1">
      <w:pPr>
        <w:pStyle w:val="ListParagraph"/>
        <w:ind w:left="540" w:hanging="540"/>
        <w:jc w:val="both"/>
        <w:rPr>
          <w:rFonts w:asciiTheme="minorHAnsi" w:hAnsiTheme="minorHAnsi" w:cstheme="minorHAnsi"/>
          <w:sz w:val="22"/>
          <w:szCs w:val="22"/>
        </w:rPr>
      </w:pPr>
    </w:p>
    <w:p w14:paraId="6CB14C94" w14:textId="12E0A5E7" w:rsidR="0024625C" w:rsidRPr="0024625C" w:rsidRDefault="0024625C" w:rsidP="004F0DC1">
      <w:pPr>
        <w:pStyle w:val="ListParagraph"/>
        <w:numPr>
          <w:ilvl w:val="1"/>
          <w:numId w:val="25"/>
        </w:numPr>
        <w:ind w:left="540" w:hanging="540"/>
        <w:jc w:val="both"/>
        <w:rPr>
          <w:rFonts w:asciiTheme="minorHAnsi" w:hAnsiTheme="minorHAnsi" w:cstheme="minorHAnsi"/>
          <w:sz w:val="22"/>
          <w:szCs w:val="22"/>
        </w:rPr>
      </w:pPr>
      <w:r w:rsidRPr="0024625C">
        <w:rPr>
          <w:rFonts w:asciiTheme="minorHAnsi" w:hAnsiTheme="minorHAnsi" w:cstheme="minorHAnsi"/>
          <w:sz w:val="22"/>
          <w:szCs w:val="22"/>
        </w:rPr>
        <w:t xml:space="preserve">Any presentation with speakers will be authorised by </w:t>
      </w:r>
      <w:r w:rsidR="004E497C">
        <w:rPr>
          <w:rFonts w:asciiTheme="minorHAnsi" w:hAnsiTheme="minorHAnsi" w:cstheme="minorHAnsi"/>
          <w:sz w:val="22"/>
          <w:szCs w:val="22"/>
        </w:rPr>
        <w:t>the Head of Department/Line Manager</w:t>
      </w:r>
      <w:r w:rsidRPr="0024625C">
        <w:rPr>
          <w:rFonts w:asciiTheme="minorHAnsi" w:hAnsiTheme="minorHAnsi" w:cstheme="minorHAnsi"/>
          <w:sz w:val="22"/>
          <w:szCs w:val="22"/>
        </w:rPr>
        <w:t xml:space="preserve">. A member of the team will conduct a short investigation into the speaker and the </w:t>
      </w:r>
      <w:proofErr w:type="gramStart"/>
      <w:r w:rsidRPr="0024625C">
        <w:rPr>
          <w:rFonts w:asciiTheme="minorHAnsi" w:hAnsiTheme="minorHAnsi" w:cstheme="minorHAnsi"/>
          <w:sz w:val="22"/>
          <w:szCs w:val="22"/>
        </w:rPr>
        <w:t>presentation</w:t>
      </w:r>
      <w:proofErr w:type="gramEnd"/>
      <w:r w:rsidRPr="0024625C">
        <w:rPr>
          <w:rFonts w:asciiTheme="minorHAnsi" w:hAnsiTheme="minorHAnsi" w:cstheme="minorHAnsi"/>
          <w:sz w:val="22"/>
          <w:szCs w:val="22"/>
        </w:rPr>
        <w:t xml:space="preserve"> and this may involve liaising with colleagues in Counter Terrorism Unit and/or the local Prevent Coordinator.</w:t>
      </w:r>
      <w:r w:rsidR="004E497C">
        <w:rPr>
          <w:rFonts w:asciiTheme="minorHAnsi" w:hAnsiTheme="minorHAnsi" w:cstheme="minorHAnsi"/>
          <w:sz w:val="22"/>
          <w:szCs w:val="22"/>
        </w:rPr>
        <w:t xml:space="preserve"> If </w:t>
      </w:r>
      <w:proofErr w:type="gramStart"/>
      <w:r w:rsidR="004E497C">
        <w:rPr>
          <w:rFonts w:asciiTheme="minorHAnsi" w:hAnsiTheme="minorHAnsi" w:cstheme="minorHAnsi"/>
          <w:sz w:val="22"/>
          <w:szCs w:val="22"/>
        </w:rPr>
        <w:t>required</w:t>
      </w:r>
      <w:proofErr w:type="gramEnd"/>
      <w:r w:rsidR="004E497C">
        <w:rPr>
          <w:rFonts w:asciiTheme="minorHAnsi" w:hAnsiTheme="minorHAnsi" w:cstheme="minorHAnsi"/>
          <w:sz w:val="22"/>
          <w:szCs w:val="22"/>
        </w:rPr>
        <w:t xml:space="preserve"> it could be escalated to the Senior Leadership </w:t>
      </w:r>
      <w:r w:rsidR="00B94DD0">
        <w:rPr>
          <w:rFonts w:asciiTheme="minorHAnsi" w:hAnsiTheme="minorHAnsi" w:cstheme="minorHAnsi"/>
          <w:sz w:val="22"/>
          <w:szCs w:val="22"/>
        </w:rPr>
        <w:t>T</w:t>
      </w:r>
      <w:r w:rsidR="004E497C">
        <w:rPr>
          <w:rFonts w:asciiTheme="minorHAnsi" w:hAnsiTheme="minorHAnsi" w:cstheme="minorHAnsi"/>
          <w:sz w:val="22"/>
          <w:szCs w:val="22"/>
        </w:rPr>
        <w:t>eam.</w:t>
      </w:r>
    </w:p>
    <w:p w14:paraId="68D3BFA0" w14:textId="77777777" w:rsidR="0024625C" w:rsidRPr="0024625C" w:rsidRDefault="0024625C" w:rsidP="004F0DC1">
      <w:pPr>
        <w:pStyle w:val="ListParagraph"/>
        <w:ind w:left="540" w:hanging="540"/>
        <w:jc w:val="both"/>
        <w:rPr>
          <w:rFonts w:asciiTheme="minorHAnsi" w:hAnsiTheme="minorHAnsi" w:cstheme="minorHAnsi"/>
          <w:sz w:val="22"/>
          <w:szCs w:val="22"/>
        </w:rPr>
      </w:pPr>
    </w:p>
    <w:p w14:paraId="1E6B52B1" w14:textId="77777777" w:rsidR="0024625C" w:rsidRPr="0024625C" w:rsidRDefault="0024625C" w:rsidP="004F0DC1">
      <w:pPr>
        <w:pStyle w:val="ListParagraph"/>
        <w:numPr>
          <w:ilvl w:val="1"/>
          <w:numId w:val="25"/>
        </w:numPr>
        <w:ind w:left="540" w:hanging="540"/>
        <w:jc w:val="both"/>
        <w:rPr>
          <w:rFonts w:asciiTheme="minorHAnsi" w:hAnsiTheme="minorHAnsi" w:cstheme="minorHAnsi"/>
          <w:sz w:val="22"/>
          <w:szCs w:val="22"/>
        </w:rPr>
      </w:pPr>
      <w:r w:rsidRPr="0024625C">
        <w:rPr>
          <w:rFonts w:asciiTheme="minorHAnsi" w:hAnsiTheme="minorHAnsi" w:cstheme="minorHAnsi"/>
          <w:sz w:val="22"/>
          <w:szCs w:val="22"/>
        </w:rPr>
        <w:t>In making recommendations the level of risk will be assessed on the following basis:</w:t>
      </w:r>
    </w:p>
    <w:p w14:paraId="1650038E" w14:textId="77777777" w:rsidR="0024625C" w:rsidRPr="0024625C" w:rsidRDefault="0024625C" w:rsidP="004F0DC1">
      <w:pPr>
        <w:pStyle w:val="ListParagraph"/>
        <w:ind w:left="540" w:hanging="540"/>
        <w:jc w:val="both"/>
        <w:rPr>
          <w:rFonts w:asciiTheme="minorHAnsi" w:hAnsiTheme="minorHAnsi" w:cstheme="minorHAnsi"/>
          <w:sz w:val="22"/>
          <w:szCs w:val="22"/>
        </w:rPr>
      </w:pPr>
    </w:p>
    <w:p w14:paraId="16A51B5B" w14:textId="77777777" w:rsidR="0024625C" w:rsidRPr="0024625C" w:rsidRDefault="0024625C" w:rsidP="004F0DC1">
      <w:pPr>
        <w:pStyle w:val="ListParagraph"/>
        <w:numPr>
          <w:ilvl w:val="0"/>
          <w:numId w:val="26"/>
        </w:numPr>
        <w:ind w:left="1350" w:hanging="540"/>
        <w:jc w:val="both"/>
        <w:rPr>
          <w:rFonts w:asciiTheme="minorHAnsi" w:hAnsiTheme="minorHAnsi" w:cstheme="minorHAnsi"/>
          <w:sz w:val="22"/>
          <w:szCs w:val="22"/>
        </w:rPr>
      </w:pPr>
      <w:r w:rsidRPr="0024625C">
        <w:rPr>
          <w:rFonts w:asciiTheme="minorHAnsi" w:hAnsiTheme="minorHAnsi" w:cstheme="minorHAnsi"/>
          <w:sz w:val="22"/>
          <w:szCs w:val="22"/>
        </w:rPr>
        <w:t>The potential for any decision to limit freedom of speech</w:t>
      </w:r>
    </w:p>
    <w:p w14:paraId="57173172" w14:textId="77777777" w:rsidR="0024625C" w:rsidRPr="0024625C" w:rsidRDefault="0024625C" w:rsidP="004F0DC1">
      <w:pPr>
        <w:pStyle w:val="ListParagraph"/>
        <w:numPr>
          <w:ilvl w:val="0"/>
          <w:numId w:val="26"/>
        </w:numPr>
        <w:ind w:left="1350" w:hanging="540"/>
        <w:jc w:val="both"/>
        <w:rPr>
          <w:rFonts w:asciiTheme="minorHAnsi" w:hAnsiTheme="minorHAnsi" w:cstheme="minorHAnsi"/>
          <w:sz w:val="22"/>
          <w:szCs w:val="22"/>
        </w:rPr>
      </w:pPr>
      <w:r w:rsidRPr="0024625C">
        <w:rPr>
          <w:rFonts w:asciiTheme="minorHAnsi" w:hAnsiTheme="minorHAnsi" w:cstheme="minorHAnsi"/>
          <w:sz w:val="22"/>
          <w:szCs w:val="22"/>
        </w:rPr>
        <w:t>The potential for the presentation going ahead to cause the College to be in breach of its equal opportunities policy</w:t>
      </w:r>
    </w:p>
    <w:p w14:paraId="2FD0D5E1" w14:textId="77777777" w:rsidR="0024625C" w:rsidRPr="0024625C" w:rsidRDefault="0024625C" w:rsidP="004F0DC1">
      <w:pPr>
        <w:pStyle w:val="ListParagraph"/>
        <w:numPr>
          <w:ilvl w:val="0"/>
          <w:numId w:val="26"/>
        </w:numPr>
        <w:ind w:left="1350" w:hanging="540"/>
        <w:jc w:val="both"/>
        <w:rPr>
          <w:rFonts w:asciiTheme="minorHAnsi" w:hAnsiTheme="minorHAnsi" w:cstheme="minorHAnsi"/>
          <w:sz w:val="22"/>
          <w:szCs w:val="22"/>
        </w:rPr>
      </w:pPr>
      <w:r w:rsidRPr="0024625C">
        <w:rPr>
          <w:rFonts w:asciiTheme="minorHAnsi" w:hAnsiTheme="minorHAnsi" w:cstheme="minorHAnsi"/>
          <w:sz w:val="22"/>
          <w:szCs w:val="22"/>
        </w:rPr>
        <w:t>The potential for the event going ahead to cause reputational risk to the College</w:t>
      </w:r>
    </w:p>
    <w:p w14:paraId="79A9EF0D" w14:textId="77777777" w:rsidR="0024625C" w:rsidRPr="0024625C" w:rsidRDefault="0024625C" w:rsidP="004F0DC1">
      <w:pPr>
        <w:pStyle w:val="ListParagraph"/>
        <w:numPr>
          <w:ilvl w:val="0"/>
          <w:numId w:val="26"/>
        </w:numPr>
        <w:ind w:left="1350" w:hanging="540"/>
        <w:jc w:val="both"/>
        <w:rPr>
          <w:rFonts w:asciiTheme="minorHAnsi" w:hAnsiTheme="minorHAnsi" w:cstheme="minorHAnsi"/>
          <w:sz w:val="22"/>
          <w:szCs w:val="22"/>
        </w:rPr>
      </w:pPr>
      <w:r w:rsidRPr="0024625C">
        <w:rPr>
          <w:rFonts w:asciiTheme="minorHAnsi" w:hAnsiTheme="minorHAnsi" w:cstheme="minorHAnsi"/>
          <w:sz w:val="22"/>
          <w:szCs w:val="22"/>
        </w:rPr>
        <w:t>The potential for the speaker’s presence on campus to cause fear or alarm to members of the student body</w:t>
      </w:r>
    </w:p>
    <w:p w14:paraId="0744CF85" w14:textId="77777777" w:rsidR="0024625C" w:rsidRPr="0024625C" w:rsidRDefault="0024625C" w:rsidP="004F0DC1">
      <w:pPr>
        <w:pStyle w:val="ListParagraph"/>
        <w:numPr>
          <w:ilvl w:val="0"/>
          <w:numId w:val="26"/>
        </w:numPr>
        <w:ind w:left="1350" w:hanging="540"/>
        <w:jc w:val="both"/>
        <w:rPr>
          <w:rFonts w:asciiTheme="minorHAnsi" w:hAnsiTheme="minorHAnsi" w:cstheme="minorHAnsi"/>
          <w:sz w:val="22"/>
          <w:szCs w:val="22"/>
        </w:rPr>
      </w:pPr>
      <w:r w:rsidRPr="0024625C">
        <w:rPr>
          <w:rFonts w:asciiTheme="minorHAnsi" w:hAnsiTheme="minorHAnsi" w:cstheme="minorHAnsi"/>
          <w:sz w:val="22"/>
          <w:szCs w:val="22"/>
        </w:rPr>
        <w:t>The potential for the speaker’s presence on campus to give rise to breach of peace</w:t>
      </w:r>
    </w:p>
    <w:p w14:paraId="75D9D64A" w14:textId="77777777" w:rsidR="004F0DC1" w:rsidRDefault="004F0DC1" w:rsidP="004F0DC1">
      <w:pPr>
        <w:ind w:left="540"/>
        <w:jc w:val="both"/>
        <w:rPr>
          <w:rFonts w:asciiTheme="minorHAnsi" w:hAnsiTheme="minorHAnsi" w:cstheme="minorHAnsi"/>
          <w:sz w:val="22"/>
          <w:szCs w:val="22"/>
        </w:rPr>
      </w:pPr>
    </w:p>
    <w:p w14:paraId="40FEBED5" w14:textId="77777777" w:rsidR="0024625C" w:rsidRPr="0024625C" w:rsidRDefault="0024625C" w:rsidP="004F0DC1">
      <w:pPr>
        <w:ind w:left="540"/>
        <w:jc w:val="both"/>
        <w:rPr>
          <w:rFonts w:asciiTheme="minorHAnsi" w:hAnsiTheme="minorHAnsi" w:cstheme="minorHAnsi"/>
          <w:sz w:val="22"/>
          <w:szCs w:val="22"/>
        </w:rPr>
      </w:pPr>
      <w:r w:rsidRPr="0024625C">
        <w:rPr>
          <w:rFonts w:asciiTheme="minorHAnsi" w:hAnsiTheme="minorHAnsi" w:cstheme="minorHAnsi"/>
          <w:sz w:val="22"/>
          <w:szCs w:val="22"/>
        </w:rPr>
        <w:t>As a result the</w:t>
      </w:r>
      <w:r w:rsidR="004E497C" w:rsidRPr="004E497C">
        <w:rPr>
          <w:rFonts w:asciiTheme="minorHAnsi" w:hAnsiTheme="minorHAnsi" w:cstheme="minorHAnsi"/>
          <w:sz w:val="22"/>
          <w:szCs w:val="22"/>
        </w:rPr>
        <w:t xml:space="preserve"> </w:t>
      </w:r>
      <w:r w:rsidR="004E497C">
        <w:rPr>
          <w:rFonts w:asciiTheme="minorHAnsi" w:hAnsiTheme="minorHAnsi" w:cstheme="minorHAnsi"/>
          <w:sz w:val="22"/>
          <w:szCs w:val="22"/>
        </w:rPr>
        <w:t>Head of Department/Line Manager</w:t>
      </w:r>
      <w:r w:rsidR="004E497C" w:rsidRPr="0024625C">
        <w:rPr>
          <w:rFonts w:asciiTheme="minorHAnsi" w:hAnsiTheme="minorHAnsi" w:cstheme="minorHAnsi"/>
          <w:sz w:val="22"/>
          <w:szCs w:val="22"/>
        </w:rPr>
        <w:t xml:space="preserve"> </w:t>
      </w:r>
      <w:r w:rsidRPr="0024625C">
        <w:rPr>
          <w:rFonts w:asciiTheme="minorHAnsi" w:hAnsiTheme="minorHAnsi" w:cstheme="minorHAnsi"/>
          <w:sz w:val="22"/>
          <w:szCs w:val="22"/>
        </w:rPr>
        <w:t>member may make one of the following recommendations:</w:t>
      </w:r>
    </w:p>
    <w:p w14:paraId="07EBC53A" w14:textId="77777777" w:rsidR="0024625C" w:rsidRPr="0024625C" w:rsidRDefault="0024625C" w:rsidP="004F0DC1">
      <w:pPr>
        <w:pStyle w:val="ListParagraph"/>
        <w:numPr>
          <w:ilvl w:val="0"/>
          <w:numId w:val="27"/>
        </w:numPr>
        <w:ind w:left="1350" w:hanging="540"/>
        <w:jc w:val="both"/>
        <w:rPr>
          <w:rFonts w:asciiTheme="minorHAnsi" w:hAnsiTheme="minorHAnsi" w:cstheme="minorHAnsi"/>
          <w:sz w:val="22"/>
          <w:szCs w:val="22"/>
        </w:rPr>
      </w:pPr>
      <w:r w:rsidRPr="0024625C">
        <w:rPr>
          <w:rFonts w:asciiTheme="minorHAnsi" w:hAnsiTheme="minorHAnsi" w:cstheme="minorHAnsi"/>
          <w:sz w:val="22"/>
          <w:szCs w:val="22"/>
        </w:rPr>
        <w:t>Fully permit the presentation with the external speaker to go ahead unrestricted</w:t>
      </w:r>
    </w:p>
    <w:p w14:paraId="7AF9FF5C" w14:textId="77777777" w:rsidR="0024625C" w:rsidRPr="0024625C" w:rsidRDefault="0024625C" w:rsidP="004F0DC1">
      <w:pPr>
        <w:pStyle w:val="ListParagraph"/>
        <w:numPr>
          <w:ilvl w:val="0"/>
          <w:numId w:val="27"/>
        </w:numPr>
        <w:ind w:left="1350" w:hanging="540"/>
        <w:jc w:val="both"/>
        <w:rPr>
          <w:rFonts w:asciiTheme="minorHAnsi" w:hAnsiTheme="minorHAnsi" w:cstheme="minorHAnsi"/>
          <w:sz w:val="22"/>
          <w:szCs w:val="22"/>
        </w:rPr>
      </w:pPr>
      <w:r w:rsidRPr="0024625C">
        <w:rPr>
          <w:rFonts w:asciiTheme="minorHAnsi" w:hAnsiTheme="minorHAnsi" w:cstheme="minorHAnsi"/>
          <w:sz w:val="22"/>
          <w:szCs w:val="22"/>
        </w:rPr>
        <w:t>Not permit the presentation with the external speaker to go ahead</w:t>
      </w:r>
    </w:p>
    <w:p w14:paraId="63C65C96" w14:textId="77777777" w:rsidR="0024625C" w:rsidRPr="0024625C" w:rsidRDefault="0024625C" w:rsidP="004F0DC1">
      <w:pPr>
        <w:pStyle w:val="ListParagraph"/>
        <w:numPr>
          <w:ilvl w:val="0"/>
          <w:numId w:val="27"/>
        </w:numPr>
        <w:ind w:left="1350" w:hanging="540"/>
        <w:jc w:val="both"/>
        <w:rPr>
          <w:rFonts w:asciiTheme="minorHAnsi" w:hAnsiTheme="minorHAnsi" w:cstheme="minorHAnsi"/>
          <w:sz w:val="22"/>
          <w:szCs w:val="22"/>
        </w:rPr>
      </w:pPr>
      <w:r w:rsidRPr="0024625C">
        <w:rPr>
          <w:rFonts w:asciiTheme="minorHAnsi" w:hAnsiTheme="minorHAnsi" w:cstheme="minorHAnsi"/>
          <w:sz w:val="22"/>
          <w:szCs w:val="22"/>
        </w:rPr>
        <w:t>Permit the presentation with the external speaker to go ahead on the basis of steps designed to reduce risk</w:t>
      </w:r>
    </w:p>
    <w:p w14:paraId="4BDAE38C" w14:textId="77777777" w:rsidR="004F0DC1" w:rsidRDefault="004F0DC1" w:rsidP="004F0DC1">
      <w:pPr>
        <w:ind w:left="540"/>
        <w:jc w:val="both"/>
        <w:rPr>
          <w:rFonts w:asciiTheme="minorHAnsi" w:hAnsiTheme="minorHAnsi" w:cstheme="minorHAnsi"/>
          <w:sz w:val="22"/>
          <w:szCs w:val="22"/>
        </w:rPr>
      </w:pPr>
    </w:p>
    <w:p w14:paraId="275851C5" w14:textId="77777777" w:rsidR="0024625C" w:rsidRPr="0024625C" w:rsidRDefault="0024625C" w:rsidP="004F0DC1">
      <w:pPr>
        <w:ind w:left="540"/>
        <w:jc w:val="both"/>
        <w:rPr>
          <w:rFonts w:asciiTheme="minorHAnsi" w:hAnsiTheme="minorHAnsi" w:cstheme="minorHAnsi"/>
          <w:sz w:val="22"/>
          <w:szCs w:val="22"/>
        </w:rPr>
      </w:pPr>
      <w:r w:rsidRPr="0024625C">
        <w:rPr>
          <w:rFonts w:asciiTheme="minorHAnsi" w:hAnsiTheme="minorHAnsi" w:cstheme="minorHAnsi"/>
          <w:sz w:val="22"/>
          <w:szCs w:val="22"/>
        </w:rPr>
        <w:t>Examples of steps that could be taken to reduce risk;</w:t>
      </w:r>
    </w:p>
    <w:p w14:paraId="0245B93A" w14:textId="77777777" w:rsidR="0024625C" w:rsidRPr="0024625C" w:rsidRDefault="0024625C" w:rsidP="004F0DC1">
      <w:pPr>
        <w:pStyle w:val="ListParagraph"/>
        <w:numPr>
          <w:ilvl w:val="0"/>
          <w:numId w:val="28"/>
        </w:numPr>
        <w:ind w:left="1350" w:hanging="540"/>
        <w:jc w:val="both"/>
        <w:rPr>
          <w:rFonts w:asciiTheme="minorHAnsi" w:hAnsiTheme="minorHAnsi" w:cstheme="minorHAnsi"/>
          <w:sz w:val="22"/>
          <w:szCs w:val="22"/>
        </w:rPr>
      </w:pPr>
      <w:r w:rsidRPr="0024625C">
        <w:rPr>
          <w:rFonts w:asciiTheme="minorHAnsi" w:hAnsiTheme="minorHAnsi" w:cstheme="minorHAnsi"/>
          <w:sz w:val="22"/>
          <w:szCs w:val="22"/>
        </w:rPr>
        <w:t>Requiring that a copy of any presentation or speech to be delivered by the speaker be submitted in advance of the presentation</w:t>
      </w:r>
    </w:p>
    <w:p w14:paraId="47DFA48F" w14:textId="77777777" w:rsidR="0024625C" w:rsidRPr="0024625C" w:rsidRDefault="0024625C" w:rsidP="004F0DC1">
      <w:pPr>
        <w:pStyle w:val="ListParagraph"/>
        <w:numPr>
          <w:ilvl w:val="0"/>
          <w:numId w:val="28"/>
        </w:numPr>
        <w:ind w:left="1350" w:hanging="540"/>
        <w:jc w:val="both"/>
        <w:rPr>
          <w:rFonts w:asciiTheme="minorHAnsi" w:hAnsiTheme="minorHAnsi" w:cstheme="minorHAnsi"/>
          <w:sz w:val="22"/>
          <w:szCs w:val="22"/>
        </w:rPr>
      </w:pPr>
      <w:r w:rsidRPr="0024625C">
        <w:rPr>
          <w:rFonts w:asciiTheme="minorHAnsi" w:hAnsiTheme="minorHAnsi" w:cstheme="minorHAnsi"/>
          <w:sz w:val="22"/>
          <w:szCs w:val="22"/>
        </w:rPr>
        <w:t>Requiring that an event promoting a particular view includes an opportunity to debate or challenge that view</w:t>
      </w:r>
    </w:p>
    <w:p w14:paraId="69B8EE85" w14:textId="77777777" w:rsidR="0024625C" w:rsidRPr="0024625C" w:rsidRDefault="0024625C" w:rsidP="004F0DC1">
      <w:pPr>
        <w:pStyle w:val="ListParagraph"/>
        <w:numPr>
          <w:ilvl w:val="0"/>
          <w:numId w:val="28"/>
        </w:numPr>
        <w:ind w:left="1350" w:hanging="540"/>
        <w:jc w:val="both"/>
        <w:rPr>
          <w:rFonts w:asciiTheme="minorHAnsi" w:hAnsiTheme="minorHAnsi" w:cstheme="minorHAnsi"/>
          <w:sz w:val="22"/>
          <w:szCs w:val="22"/>
        </w:rPr>
      </w:pPr>
      <w:r w:rsidRPr="0024625C">
        <w:rPr>
          <w:rFonts w:asciiTheme="minorHAnsi" w:hAnsiTheme="minorHAnsi" w:cstheme="minorHAnsi"/>
          <w:sz w:val="22"/>
          <w:szCs w:val="22"/>
        </w:rPr>
        <w:t>Requiring the use of the Security Team to be on the door of any large scale event</w:t>
      </w:r>
    </w:p>
    <w:sectPr w:rsidR="0024625C" w:rsidRPr="0024625C" w:rsidSect="004F0DC1">
      <w:headerReference w:type="default" r:id="rId13"/>
      <w:footerReference w:type="default" r:id="rId14"/>
      <w:pgSz w:w="11906" w:h="16838" w:code="9"/>
      <w:pgMar w:top="401" w:right="1418" w:bottom="851"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18BC0" w14:textId="77777777" w:rsidR="00AF23B3" w:rsidRDefault="00AF23B3">
      <w:r>
        <w:separator/>
      </w:r>
    </w:p>
  </w:endnote>
  <w:endnote w:type="continuationSeparator" w:id="0">
    <w:p w14:paraId="7E70555D" w14:textId="77777777" w:rsidR="00AF23B3" w:rsidRDefault="00AF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8C29" w14:textId="77777777" w:rsidR="00425C25" w:rsidRDefault="00425C25" w:rsidP="003B7736">
    <w:pPr>
      <w:pStyle w:val="Footer"/>
      <w:tabs>
        <w:tab w:val="left" w:pos="945"/>
        <w:tab w:val="right" w:pos="9070"/>
      </w:tabs>
      <w:rPr>
        <w:rFonts w:ascii="Arial" w:hAnsi="Arial" w:cs="Arial"/>
        <w:sz w:val="16"/>
        <w:szCs w:val="16"/>
        <w:lang w:val="en-US"/>
      </w:rPr>
    </w:pPr>
  </w:p>
  <w:tbl>
    <w:tblPr>
      <w:tblW w:w="10060"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shd w:val="clear" w:color="auto" w:fill="DAEEF3" w:themeFill="accent5" w:themeFillTint="33"/>
      <w:tblLook w:val="01E0" w:firstRow="1" w:lastRow="1" w:firstColumn="1" w:lastColumn="1" w:noHBand="0" w:noVBand="0"/>
    </w:tblPr>
    <w:tblGrid>
      <w:gridCol w:w="1668"/>
      <w:gridCol w:w="1680"/>
      <w:gridCol w:w="333"/>
      <w:gridCol w:w="2997"/>
      <w:gridCol w:w="3382"/>
    </w:tblGrid>
    <w:tr w:rsidR="00425C25" w:rsidRPr="00574696" w14:paraId="17D15F54" w14:textId="77777777" w:rsidTr="00A42B90">
      <w:tc>
        <w:tcPr>
          <w:tcW w:w="1668" w:type="dxa"/>
          <w:shd w:val="clear" w:color="auto" w:fill="DAEEF3" w:themeFill="accent5" w:themeFillTint="33"/>
          <w:tcMar>
            <w:top w:w="28" w:type="dxa"/>
            <w:bottom w:w="28" w:type="dxa"/>
          </w:tcMar>
        </w:tcPr>
        <w:p w14:paraId="48ACD81C" w14:textId="77777777" w:rsidR="00425C25" w:rsidRPr="00574696" w:rsidRDefault="00425C25" w:rsidP="00574696">
          <w:pPr>
            <w:pStyle w:val="Footer"/>
            <w:tabs>
              <w:tab w:val="left" w:pos="945"/>
              <w:tab w:val="right" w:pos="9070"/>
            </w:tabs>
            <w:rPr>
              <w:rFonts w:ascii="Arial" w:hAnsi="Arial" w:cs="Arial"/>
              <w:b/>
              <w:sz w:val="16"/>
              <w:szCs w:val="16"/>
              <w:lang w:val="en-US"/>
            </w:rPr>
          </w:pPr>
          <w:r w:rsidRPr="00574696">
            <w:rPr>
              <w:rFonts w:ascii="Arial" w:hAnsi="Arial" w:cs="Arial"/>
              <w:b/>
              <w:sz w:val="16"/>
              <w:szCs w:val="16"/>
              <w:lang w:val="en-US"/>
            </w:rPr>
            <w:t>Ref</w:t>
          </w:r>
        </w:p>
      </w:tc>
      <w:tc>
        <w:tcPr>
          <w:tcW w:w="1680" w:type="dxa"/>
          <w:shd w:val="clear" w:color="auto" w:fill="DAEEF3" w:themeFill="accent5" w:themeFillTint="33"/>
          <w:tcMar>
            <w:top w:w="28" w:type="dxa"/>
            <w:bottom w:w="28" w:type="dxa"/>
          </w:tcMar>
        </w:tcPr>
        <w:p w14:paraId="29EB947F" w14:textId="77777777" w:rsidR="00425C25" w:rsidRPr="00574696" w:rsidRDefault="0049648F" w:rsidP="00574696">
          <w:pPr>
            <w:pStyle w:val="Footer"/>
            <w:tabs>
              <w:tab w:val="left" w:pos="945"/>
              <w:tab w:val="right" w:pos="9070"/>
            </w:tabs>
            <w:rPr>
              <w:rFonts w:ascii="Arial" w:hAnsi="Arial" w:cs="Arial"/>
              <w:sz w:val="16"/>
              <w:szCs w:val="16"/>
              <w:lang w:val="en-US"/>
            </w:rPr>
          </w:pPr>
          <w:r>
            <w:rPr>
              <w:rFonts w:ascii="Arial" w:hAnsi="Arial" w:cs="Arial"/>
              <w:sz w:val="16"/>
              <w:szCs w:val="16"/>
              <w:lang w:val="en-US"/>
            </w:rPr>
            <w:t>6</w:t>
          </w:r>
          <w:r w:rsidR="00F97EAF">
            <w:rPr>
              <w:rFonts w:ascii="Arial" w:hAnsi="Arial" w:cs="Arial"/>
              <w:sz w:val="16"/>
              <w:szCs w:val="16"/>
              <w:lang w:val="en-US"/>
            </w:rPr>
            <w:t>1</w:t>
          </w:r>
        </w:p>
      </w:tc>
      <w:tc>
        <w:tcPr>
          <w:tcW w:w="333" w:type="dxa"/>
          <w:tcBorders>
            <w:top w:val="nil"/>
            <w:bottom w:val="nil"/>
          </w:tcBorders>
          <w:shd w:val="clear" w:color="auto" w:fill="FFFFFF" w:themeFill="background1"/>
          <w:tcMar>
            <w:top w:w="28" w:type="dxa"/>
            <w:bottom w:w="28" w:type="dxa"/>
          </w:tcMar>
        </w:tcPr>
        <w:p w14:paraId="4DAC9C4F" w14:textId="77777777" w:rsidR="00425C25" w:rsidRPr="00574696" w:rsidRDefault="00425C25" w:rsidP="00574696">
          <w:pPr>
            <w:pStyle w:val="Footer"/>
            <w:tabs>
              <w:tab w:val="left" w:pos="945"/>
              <w:tab w:val="right" w:pos="9070"/>
            </w:tabs>
            <w:rPr>
              <w:rFonts w:ascii="Arial" w:hAnsi="Arial" w:cs="Arial"/>
              <w:sz w:val="16"/>
              <w:szCs w:val="16"/>
              <w:lang w:val="en-US"/>
            </w:rPr>
          </w:pPr>
        </w:p>
      </w:tc>
      <w:tc>
        <w:tcPr>
          <w:tcW w:w="2997" w:type="dxa"/>
          <w:shd w:val="clear" w:color="auto" w:fill="DAEEF3" w:themeFill="accent5" w:themeFillTint="33"/>
          <w:tcMar>
            <w:top w:w="28" w:type="dxa"/>
            <w:bottom w:w="28" w:type="dxa"/>
          </w:tcMar>
        </w:tcPr>
        <w:p w14:paraId="71F56A2C" w14:textId="77777777" w:rsidR="00425C25" w:rsidRPr="00574696" w:rsidRDefault="00425C25" w:rsidP="00574696">
          <w:pPr>
            <w:pStyle w:val="Footer"/>
            <w:tabs>
              <w:tab w:val="left" w:pos="945"/>
              <w:tab w:val="right" w:pos="9070"/>
            </w:tabs>
            <w:rPr>
              <w:rFonts w:ascii="Arial" w:hAnsi="Arial" w:cs="Arial"/>
              <w:b/>
              <w:sz w:val="16"/>
              <w:szCs w:val="16"/>
              <w:lang w:val="en-US"/>
            </w:rPr>
          </w:pPr>
          <w:r w:rsidRPr="00574696">
            <w:rPr>
              <w:rFonts w:ascii="Arial" w:hAnsi="Arial" w:cs="Arial"/>
              <w:b/>
              <w:sz w:val="16"/>
              <w:szCs w:val="16"/>
              <w:lang w:val="en-US"/>
            </w:rPr>
            <w:t>Postholder Responsible for Review</w:t>
          </w:r>
        </w:p>
      </w:tc>
      <w:tc>
        <w:tcPr>
          <w:tcW w:w="3382" w:type="dxa"/>
          <w:shd w:val="clear" w:color="auto" w:fill="DAEEF3" w:themeFill="accent5" w:themeFillTint="33"/>
          <w:tcMar>
            <w:top w:w="28" w:type="dxa"/>
            <w:bottom w:w="28" w:type="dxa"/>
          </w:tcMar>
        </w:tcPr>
        <w:p w14:paraId="6EF71444" w14:textId="77777777" w:rsidR="00425C25" w:rsidRPr="00574696" w:rsidRDefault="00425C25" w:rsidP="009060DF">
          <w:pPr>
            <w:pStyle w:val="Footer"/>
            <w:tabs>
              <w:tab w:val="left" w:pos="945"/>
              <w:tab w:val="right" w:pos="9070"/>
            </w:tabs>
            <w:rPr>
              <w:rFonts w:ascii="Arial" w:hAnsi="Arial" w:cs="Arial"/>
              <w:sz w:val="16"/>
              <w:szCs w:val="16"/>
              <w:lang w:val="en-US"/>
            </w:rPr>
          </w:pPr>
          <w:r w:rsidRPr="00574696">
            <w:rPr>
              <w:rFonts w:ascii="Arial" w:hAnsi="Arial" w:cs="Arial"/>
              <w:sz w:val="16"/>
              <w:szCs w:val="16"/>
              <w:lang w:val="en-US"/>
            </w:rPr>
            <w:t xml:space="preserve">Director of </w:t>
          </w:r>
          <w:r w:rsidR="009060DF">
            <w:rPr>
              <w:rFonts w:ascii="Arial" w:hAnsi="Arial" w:cs="Arial"/>
              <w:sz w:val="16"/>
              <w:szCs w:val="16"/>
              <w:lang w:val="en-US"/>
            </w:rPr>
            <w:t>Inclusion and Progression</w:t>
          </w:r>
        </w:p>
      </w:tc>
    </w:tr>
    <w:tr w:rsidR="00425C25" w:rsidRPr="00574696" w14:paraId="1BDA0954" w14:textId="77777777" w:rsidTr="00A42B90">
      <w:tc>
        <w:tcPr>
          <w:tcW w:w="1668" w:type="dxa"/>
          <w:shd w:val="clear" w:color="auto" w:fill="DAEEF3" w:themeFill="accent5" w:themeFillTint="33"/>
          <w:tcMar>
            <w:top w:w="28" w:type="dxa"/>
            <w:bottom w:w="28" w:type="dxa"/>
          </w:tcMar>
        </w:tcPr>
        <w:p w14:paraId="5642DF46" w14:textId="44F30EDF" w:rsidR="00425C25" w:rsidRPr="00574696" w:rsidRDefault="00C25841" w:rsidP="00574696">
          <w:pPr>
            <w:pStyle w:val="Footer"/>
            <w:tabs>
              <w:tab w:val="left" w:pos="945"/>
              <w:tab w:val="right" w:pos="9070"/>
            </w:tabs>
            <w:rPr>
              <w:rFonts w:ascii="Arial" w:hAnsi="Arial" w:cs="Arial"/>
              <w:b/>
              <w:sz w:val="16"/>
              <w:szCs w:val="16"/>
              <w:lang w:val="en-US"/>
            </w:rPr>
          </w:pPr>
          <w:r>
            <w:rPr>
              <w:rFonts w:ascii="Arial" w:hAnsi="Arial" w:cs="Arial"/>
              <w:b/>
              <w:sz w:val="16"/>
              <w:szCs w:val="16"/>
              <w:lang w:val="en-US"/>
            </w:rPr>
            <w:t xml:space="preserve">Last Review </w:t>
          </w:r>
          <w:r w:rsidR="00425C25" w:rsidRPr="00574696">
            <w:rPr>
              <w:rFonts w:ascii="Arial" w:hAnsi="Arial" w:cs="Arial"/>
              <w:b/>
              <w:sz w:val="16"/>
              <w:szCs w:val="16"/>
              <w:lang w:val="en-US"/>
            </w:rPr>
            <w:t>Date</w:t>
          </w:r>
        </w:p>
      </w:tc>
      <w:tc>
        <w:tcPr>
          <w:tcW w:w="1680" w:type="dxa"/>
          <w:shd w:val="clear" w:color="auto" w:fill="DAEEF3" w:themeFill="accent5" w:themeFillTint="33"/>
          <w:tcMar>
            <w:top w:w="28" w:type="dxa"/>
            <w:bottom w:w="28" w:type="dxa"/>
          </w:tcMar>
        </w:tcPr>
        <w:p w14:paraId="5E7C5E63" w14:textId="5DC4BFF0" w:rsidR="00425C25" w:rsidRPr="00574696" w:rsidRDefault="00665FC1" w:rsidP="001037AD">
          <w:pPr>
            <w:pStyle w:val="Footer"/>
            <w:tabs>
              <w:tab w:val="left" w:pos="945"/>
              <w:tab w:val="right" w:pos="9070"/>
            </w:tabs>
            <w:rPr>
              <w:rFonts w:ascii="Arial" w:hAnsi="Arial" w:cs="Arial"/>
              <w:sz w:val="16"/>
              <w:szCs w:val="16"/>
              <w:lang w:val="en-US"/>
            </w:rPr>
          </w:pPr>
          <w:r>
            <w:rPr>
              <w:rFonts w:ascii="Arial" w:hAnsi="Arial" w:cs="Arial"/>
              <w:sz w:val="16"/>
              <w:szCs w:val="16"/>
              <w:lang w:val="en-US"/>
            </w:rPr>
            <w:t>July 202</w:t>
          </w:r>
          <w:r w:rsidR="00C25841">
            <w:rPr>
              <w:rFonts w:ascii="Arial" w:hAnsi="Arial" w:cs="Arial"/>
              <w:sz w:val="16"/>
              <w:szCs w:val="16"/>
              <w:lang w:val="en-US"/>
            </w:rPr>
            <w:t>1</w:t>
          </w:r>
        </w:p>
      </w:tc>
      <w:tc>
        <w:tcPr>
          <w:tcW w:w="333" w:type="dxa"/>
          <w:tcBorders>
            <w:top w:val="nil"/>
            <w:bottom w:val="nil"/>
          </w:tcBorders>
          <w:shd w:val="clear" w:color="auto" w:fill="FFFFFF" w:themeFill="background1"/>
          <w:tcMar>
            <w:top w:w="28" w:type="dxa"/>
            <w:bottom w:w="28" w:type="dxa"/>
          </w:tcMar>
        </w:tcPr>
        <w:p w14:paraId="643DF3A0" w14:textId="77777777" w:rsidR="00425C25" w:rsidRPr="00574696" w:rsidRDefault="00425C25" w:rsidP="00574696">
          <w:pPr>
            <w:pStyle w:val="Footer"/>
            <w:tabs>
              <w:tab w:val="left" w:pos="945"/>
              <w:tab w:val="right" w:pos="9070"/>
            </w:tabs>
            <w:rPr>
              <w:rFonts w:ascii="Arial" w:hAnsi="Arial" w:cs="Arial"/>
              <w:sz w:val="16"/>
              <w:szCs w:val="16"/>
              <w:lang w:val="en-US"/>
            </w:rPr>
          </w:pPr>
        </w:p>
      </w:tc>
      <w:tc>
        <w:tcPr>
          <w:tcW w:w="2997" w:type="dxa"/>
          <w:shd w:val="clear" w:color="auto" w:fill="DAEEF3" w:themeFill="accent5" w:themeFillTint="33"/>
          <w:tcMar>
            <w:top w:w="28" w:type="dxa"/>
            <w:bottom w:w="28" w:type="dxa"/>
          </w:tcMar>
        </w:tcPr>
        <w:p w14:paraId="37B81E09" w14:textId="77777777" w:rsidR="00425C25" w:rsidRPr="00574696" w:rsidRDefault="00425C25" w:rsidP="00574696">
          <w:pPr>
            <w:pStyle w:val="Footer"/>
            <w:tabs>
              <w:tab w:val="left" w:pos="945"/>
              <w:tab w:val="right" w:pos="9070"/>
            </w:tabs>
            <w:rPr>
              <w:rFonts w:ascii="Arial" w:hAnsi="Arial" w:cs="Arial"/>
              <w:b/>
              <w:sz w:val="16"/>
              <w:szCs w:val="16"/>
              <w:lang w:val="en-US"/>
            </w:rPr>
          </w:pPr>
          <w:r w:rsidRPr="00574696">
            <w:rPr>
              <w:rFonts w:ascii="Arial" w:hAnsi="Arial" w:cs="Arial"/>
              <w:b/>
              <w:sz w:val="16"/>
              <w:szCs w:val="16"/>
              <w:lang w:val="en-US"/>
            </w:rPr>
            <w:t>Review Date</w:t>
          </w:r>
        </w:p>
      </w:tc>
      <w:tc>
        <w:tcPr>
          <w:tcW w:w="3382" w:type="dxa"/>
          <w:shd w:val="clear" w:color="auto" w:fill="DAEEF3" w:themeFill="accent5" w:themeFillTint="33"/>
          <w:tcMar>
            <w:top w:w="28" w:type="dxa"/>
            <w:bottom w:w="28" w:type="dxa"/>
          </w:tcMar>
        </w:tcPr>
        <w:p w14:paraId="2D65221A" w14:textId="4F494564" w:rsidR="00425C25" w:rsidRPr="00574696" w:rsidRDefault="00665FC1" w:rsidP="005200D1">
          <w:pPr>
            <w:pStyle w:val="Footer"/>
            <w:tabs>
              <w:tab w:val="left" w:pos="945"/>
              <w:tab w:val="right" w:pos="9070"/>
            </w:tabs>
            <w:rPr>
              <w:rFonts w:ascii="Arial" w:hAnsi="Arial" w:cs="Arial"/>
              <w:sz w:val="16"/>
              <w:szCs w:val="16"/>
              <w:lang w:val="en-US"/>
            </w:rPr>
          </w:pPr>
          <w:r>
            <w:rPr>
              <w:rFonts w:ascii="Arial" w:hAnsi="Arial" w:cs="Arial"/>
              <w:sz w:val="16"/>
              <w:szCs w:val="16"/>
              <w:lang w:val="en-US"/>
            </w:rPr>
            <w:t>July 202</w:t>
          </w:r>
          <w:r w:rsidR="00B94DD0">
            <w:rPr>
              <w:rFonts w:ascii="Arial" w:hAnsi="Arial" w:cs="Arial"/>
              <w:sz w:val="16"/>
              <w:szCs w:val="16"/>
              <w:lang w:val="en-US"/>
            </w:rPr>
            <w:t>2</w:t>
          </w:r>
        </w:p>
      </w:tc>
    </w:tr>
    <w:tr w:rsidR="00425C25" w:rsidRPr="00574696" w14:paraId="7F53EF79" w14:textId="77777777" w:rsidTr="00A42B90">
      <w:tc>
        <w:tcPr>
          <w:tcW w:w="1668" w:type="dxa"/>
          <w:shd w:val="clear" w:color="auto" w:fill="DAEEF3" w:themeFill="accent5" w:themeFillTint="33"/>
          <w:tcMar>
            <w:top w:w="28" w:type="dxa"/>
            <w:bottom w:w="28" w:type="dxa"/>
          </w:tcMar>
        </w:tcPr>
        <w:p w14:paraId="16A492BE" w14:textId="77777777" w:rsidR="00425C25" w:rsidRPr="00574696" w:rsidRDefault="00425C25" w:rsidP="00574696">
          <w:pPr>
            <w:pStyle w:val="Footer"/>
            <w:tabs>
              <w:tab w:val="left" w:pos="945"/>
              <w:tab w:val="right" w:pos="9070"/>
            </w:tabs>
            <w:rPr>
              <w:rFonts w:ascii="Arial" w:hAnsi="Arial" w:cs="Arial"/>
              <w:b/>
              <w:sz w:val="16"/>
              <w:szCs w:val="16"/>
              <w:lang w:val="en-US"/>
            </w:rPr>
          </w:pPr>
          <w:r w:rsidRPr="00574696">
            <w:rPr>
              <w:rFonts w:ascii="Arial" w:hAnsi="Arial" w:cs="Arial"/>
              <w:b/>
              <w:sz w:val="16"/>
              <w:szCs w:val="16"/>
              <w:lang w:val="en-US"/>
            </w:rPr>
            <w:t>Issuing Authority</w:t>
          </w:r>
        </w:p>
      </w:tc>
      <w:tc>
        <w:tcPr>
          <w:tcW w:w="1680" w:type="dxa"/>
          <w:shd w:val="clear" w:color="auto" w:fill="DAEEF3" w:themeFill="accent5" w:themeFillTint="33"/>
          <w:tcMar>
            <w:top w:w="28" w:type="dxa"/>
            <w:bottom w:w="28" w:type="dxa"/>
          </w:tcMar>
        </w:tcPr>
        <w:p w14:paraId="429E317B" w14:textId="77777777" w:rsidR="00425C25" w:rsidRPr="00574696" w:rsidRDefault="00425C25" w:rsidP="00574696">
          <w:pPr>
            <w:pStyle w:val="Footer"/>
            <w:tabs>
              <w:tab w:val="left" w:pos="945"/>
              <w:tab w:val="right" w:pos="9070"/>
            </w:tabs>
            <w:rPr>
              <w:rFonts w:ascii="Arial" w:hAnsi="Arial" w:cs="Arial"/>
              <w:sz w:val="16"/>
              <w:szCs w:val="16"/>
              <w:lang w:val="en-US"/>
            </w:rPr>
          </w:pPr>
          <w:r w:rsidRPr="00574696">
            <w:rPr>
              <w:rFonts w:ascii="Arial" w:hAnsi="Arial" w:cs="Arial"/>
              <w:sz w:val="16"/>
              <w:szCs w:val="16"/>
              <w:lang w:val="en-US"/>
            </w:rPr>
            <w:t>Corporation &amp; SMT</w:t>
          </w:r>
        </w:p>
      </w:tc>
      <w:tc>
        <w:tcPr>
          <w:tcW w:w="333" w:type="dxa"/>
          <w:tcBorders>
            <w:top w:val="nil"/>
            <w:bottom w:val="nil"/>
          </w:tcBorders>
          <w:shd w:val="clear" w:color="auto" w:fill="FFFFFF" w:themeFill="background1"/>
          <w:tcMar>
            <w:top w:w="28" w:type="dxa"/>
            <w:bottom w:w="28" w:type="dxa"/>
          </w:tcMar>
        </w:tcPr>
        <w:p w14:paraId="49DD06D6" w14:textId="77777777" w:rsidR="00425C25" w:rsidRPr="00574696" w:rsidRDefault="00425C25" w:rsidP="00574696">
          <w:pPr>
            <w:pStyle w:val="Footer"/>
            <w:tabs>
              <w:tab w:val="left" w:pos="945"/>
              <w:tab w:val="right" w:pos="9070"/>
            </w:tabs>
            <w:rPr>
              <w:rFonts w:ascii="Arial" w:hAnsi="Arial" w:cs="Arial"/>
              <w:sz w:val="16"/>
              <w:szCs w:val="16"/>
              <w:lang w:val="en-US"/>
            </w:rPr>
          </w:pPr>
        </w:p>
      </w:tc>
      <w:tc>
        <w:tcPr>
          <w:tcW w:w="2997" w:type="dxa"/>
          <w:shd w:val="clear" w:color="auto" w:fill="DAEEF3" w:themeFill="accent5" w:themeFillTint="33"/>
          <w:tcMar>
            <w:top w:w="28" w:type="dxa"/>
            <w:bottom w:w="28" w:type="dxa"/>
          </w:tcMar>
        </w:tcPr>
        <w:p w14:paraId="3F5C20B3" w14:textId="77777777" w:rsidR="00425C25" w:rsidRPr="00574696" w:rsidRDefault="00425C25" w:rsidP="00574696">
          <w:pPr>
            <w:pStyle w:val="Footer"/>
            <w:tabs>
              <w:tab w:val="left" w:pos="945"/>
              <w:tab w:val="right" w:pos="9070"/>
            </w:tabs>
            <w:rPr>
              <w:rFonts w:ascii="Arial" w:hAnsi="Arial" w:cs="Arial"/>
              <w:b/>
              <w:sz w:val="16"/>
              <w:szCs w:val="16"/>
              <w:lang w:val="en-US"/>
            </w:rPr>
          </w:pPr>
          <w:r w:rsidRPr="00574696">
            <w:rPr>
              <w:rFonts w:ascii="Arial" w:hAnsi="Arial" w:cs="Arial"/>
              <w:b/>
              <w:sz w:val="16"/>
              <w:szCs w:val="16"/>
              <w:lang w:val="en-US"/>
            </w:rPr>
            <w:t>Primary Distribution</w:t>
          </w:r>
        </w:p>
      </w:tc>
      <w:tc>
        <w:tcPr>
          <w:tcW w:w="3382" w:type="dxa"/>
          <w:shd w:val="clear" w:color="auto" w:fill="DAEEF3" w:themeFill="accent5" w:themeFillTint="33"/>
          <w:tcMar>
            <w:top w:w="28" w:type="dxa"/>
            <w:bottom w:w="28" w:type="dxa"/>
          </w:tcMar>
        </w:tcPr>
        <w:p w14:paraId="4C5F4E84" w14:textId="182B592C" w:rsidR="00425C25" w:rsidRPr="00574696" w:rsidRDefault="00425C25" w:rsidP="00574696">
          <w:pPr>
            <w:pStyle w:val="Footer"/>
            <w:tabs>
              <w:tab w:val="left" w:pos="945"/>
              <w:tab w:val="right" w:pos="9070"/>
            </w:tabs>
            <w:rPr>
              <w:rFonts w:ascii="Arial" w:hAnsi="Arial" w:cs="Arial"/>
              <w:sz w:val="16"/>
              <w:szCs w:val="16"/>
              <w:lang w:val="en-US"/>
            </w:rPr>
          </w:pPr>
          <w:r w:rsidRPr="00574696">
            <w:rPr>
              <w:rFonts w:ascii="Arial" w:hAnsi="Arial" w:cs="Arial"/>
              <w:sz w:val="16"/>
              <w:szCs w:val="16"/>
              <w:lang w:val="en-US"/>
            </w:rPr>
            <w:t>SMT/Heads of Department/Intranet</w:t>
          </w:r>
          <w:r w:rsidR="00A42B90">
            <w:rPr>
              <w:rFonts w:ascii="Arial" w:hAnsi="Arial" w:cs="Arial"/>
              <w:sz w:val="16"/>
              <w:szCs w:val="16"/>
              <w:lang w:val="en-US"/>
            </w:rPr>
            <w:t>/</w:t>
          </w:r>
          <w:r w:rsidR="00A42B90" w:rsidRPr="00A42B90">
            <w:rPr>
              <w:rFonts w:ascii="Arial" w:hAnsi="Arial" w:cs="Arial"/>
              <w:sz w:val="16"/>
              <w:szCs w:val="16"/>
              <w:lang w:val="en-US"/>
            </w:rPr>
            <w:t>/Website</w:t>
          </w:r>
        </w:p>
      </w:tc>
    </w:tr>
    <w:tr w:rsidR="00A42B90" w:rsidRPr="00574696" w14:paraId="51FD505C" w14:textId="77777777" w:rsidTr="00A42B90">
      <w:trPr>
        <w:gridAfter w:val="3"/>
        <w:wAfter w:w="6712" w:type="dxa"/>
      </w:trPr>
      <w:tc>
        <w:tcPr>
          <w:tcW w:w="1668" w:type="dxa"/>
          <w:shd w:val="clear" w:color="auto" w:fill="DAEEF3" w:themeFill="accent5" w:themeFillTint="33"/>
          <w:tcMar>
            <w:top w:w="28" w:type="dxa"/>
            <w:bottom w:w="28" w:type="dxa"/>
          </w:tcMar>
        </w:tcPr>
        <w:p w14:paraId="5216E6C6" w14:textId="77777777" w:rsidR="00A42B90" w:rsidRPr="00574696" w:rsidRDefault="00A42B90" w:rsidP="00574696">
          <w:pPr>
            <w:pStyle w:val="Footer"/>
            <w:tabs>
              <w:tab w:val="left" w:pos="945"/>
              <w:tab w:val="right" w:pos="9070"/>
            </w:tabs>
            <w:rPr>
              <w:rFonts w:ascii="Arial" w:hAnsi="Arial" w:cs="Arial"/>
              <w:b/>
              <w:sz w:val="16"/>
              <w:szCs w:val="16"/>
              <w:lang w:val="en-US"/>
            </w:rPr>
          </w:pPr>
          <w:r>
            <w:rPr>
              <w:rFonts w:ascii="Arial" w:hAnsi="Arial" w:cs="Arial"/>
              <w:b/>
              <w:sz w:val="16"/>
              <w:szCs w:val="16"/>
              <w:lang w:val="en-US"/>
            </w:rPr>
            <w:t>Version</w:t>
          </w:r>
        </w:p>
      </w:tc>
      <w:tc>
        <w:tcPr>
          <w:tcW w:w="1680" w:type="dxa"/>
          <w:shd w:val="clear" w:color="auto" w:fill="DAEEF3" w:themeFill="accent5" w:themeFillTint="33"/>
          <w:tcMar>
            <w:top w:w="28" w:type="dxa"/>
            <w:bottom w:w="28" w:type="dxa"/>
          </w:tcMar>
        </w:tcPr>
        <w:p w14:paraId="53A01079" w14:textId="48F7E931" w:rsidR="00A42B90" w:rsidRPr="00574696" w:rsidRDefault="00A42B90" w:rsidP="00574696">
          <w:pPr>
            <w:pStyle w:val="Footer"/>
            <w:tabs>
              <w:tab w:val="left" w:pos="945"/>
              <w:tab w:val="right" w:pos="9070"/>
            </w:tabs>
            <w:rPr>
              <w:rFonts w:ascii="Arial" w:hAnsi="Arial" w:cs="Arial"/>
              <w:sz w:val="16"/>
              <w:szCs w:val="16"/>
              <w:lang w:val="en-US"/>
            </w:rPr>
          </w:pPr>
          <w:r>
            <w:rPr>
              <w:rFonts w:ascii="Arial" w:hAnsi="Arial" w:cs="Arial"/>
              <w:sz w:val="16"/>
              <w:szCs w:val="16"/>
              <w:lang w:val="en-US"/>
            </w:rPr>
            <w:t>4</w:t>
          </w:r>
        </w:p>
      </w:tc>
    </w:tr>
  </w:tbl>
  <w:p w14:paraId="7E00BD86" w14:textId="029F449D" w:rsidR="00425C25" w:rsidRDefault="00425C25" w:rsidP="0032002D">
    <w:pPr>
      <w:pStyle w:val="Footer"/>
      <w:tabs>
        <w:tab w:val="left" w:pos="945"/>
        <w:tab w:val="right" w:pos="9070"/>
      </w:tabs>
      <w:jc w:val="right"/>
      <w:rPr>
        <w:rFonts w:ascii="Arial" w:hAnsi="Arial" w:cs="Arial"/>
        <w:sz w:val="16"/>
        <w:szCs w:val="16"/>
      </w:rPr>
    </w:pPr>
    <w:r w:rsidRPr="0032002D">
      <w:rPr>
        <w:rFonts w:ascii="Arial" w:hAnsi="Arial" w:cs="Arial"/>
        <w:sz w:val="16"/>
        <w:szCs w:val="16"/>
        <w:lang w:val="en-US"/>
      </w:rPr>
      <w:t xml:space="preserve">Page </w:t>
    </w:r>
    <w:r w:rsidRPr="0032002D">
      <w:rPr>
        <w:rFonts w:ascii="Arial" w:hAnsi="Arial" w:cs="Arial"/>
        <w:sz w:val="16"/>
        <w:szCs w:val="16"/>
        <w:lang w:val="en-US"/>
      </w:rPr>
      <w:fldChar w:fldCharType="begin"/>
    </w:r>
    <w:r w:rsidRPr="0032002D">
      <w:rPr>
        <w:rFonts w:ascii="Arial" w:hAnsi="Arial" w:cs="Arial"/>
        <w:sz w:val="16"/>
        <w:szCs w:val="16"/>
        <w:lang w:val="en-US"/>
      </w:rPr>
      <w:instrText xml:space="preserve"> PAGE </w:instrText>
    </w:r>
    <w:r w:rsidRPr="0032002D">
      <w:rPr>
        <w:rFonts w:ascii="Arial" w:hAnsi="Arial" w:cs="Arial"/>
        <w:sz w:val="16"/>
        <w:szCs w:val="16"/>
        <w:lang w:val="en-US"/>
      </w:rPr>
      <w:fldChar w:fldCharType="separate"/>
    </w:r>
    <w:r w:rsidR="00665FC1">
      <w:rPr>
        <w:rFonts w:ascii="Arial" w:hAnsi="Arial" w:cs="Arial"/>
        <w:noProof/>
        <w:sz w:val="16"/>
        <w:szCs w:val="16"/>
        <w:lang w:val="en-US"/>
      </w:rPr>
      <w:t>3</w:t>
    </w:r>
    <w:r w:rsidRPr="0032002D">
      <w:rPr>
        <w:rFonts w:ascii="Arial" w:hAnsi="Arial" w:cs="Arial"/>
        <w:sz w:val="16"/>
        <w:szCs w:val="16"/>
        <w:lang w:val="en-US"/>
      </w:rPr>
      <w:fldChar w:fldCharType="end"/>
    </w:r>
    <w:r w:rsidRPr="0032002D">
      <w:rPr>
        <w:rFonts w:ascii="Arial" w:hAnsi="Arial" w:cs="Arial"/>
        <w:sz w:val="16"/>
        <w:szCs w:val="16"/>
        <w:lang w:val="en-US"/>
      </w:rPr>
      <w:t xml:space="preserve"> of </w:t>
    </w:r>
    <w:r w:rsidRPr="0032002D">
      <w:rPr>
        <w:rFonts w:ascii="Arial" w:hAnsi="Arial" w:cs="Arial"/>
        <w:sz w:val="16"/>
        <w:szCs w:val="16"/>
        <w:lang w:val="en-US"/>
      </w:rPr>
      <w:fldChar w:fldCharType="begin"/>
    </w:r>
    <w:r w:rsidRPr="0032002D">
      <w:rPr>
        <w:rFonts w:ascii="Arial" w:hAnsi="Arial" w:cs="Arial"/>
        <w:sz w:val="16"/>
        <w:szCs w:val="16"/>
        <w:lang w:val="en-US"/>
      </w:rPr>
      <w:instrText xml:space="preserve"> NUMPAGES </w:instrText>
    </w:r>
    <w:r w:rsidRPr="0032002D">
      <w:rPr>
        <w:rFonts w:ascii="Arial" w:hAnsi="Arial" w:cs="Arial"/>
        <w:sz w:val="16"/>
        <w:szCs w:val="16"/>
        <w:lang w:val="en-US"/>
      </w:rPr>
      <w:fldChar w:fldCharType="separate"/>
    </w:r>
    <w:r w:rsidR="00665FC1">
      <w:rPr>
        <w:rFonts w:ascii="Arial" w:hAnsi="Arial" w:cs="Arial"/>
        <w:noProof/>
        <w:sz w:val="16"/>
        <w:szCs w:val="16"/>
        <w:lang w:val="en-US"/>
      </w:rPr>
      <w:t>3</w:t>
    </w:r>
    <w:r w:rsidRPr="0032002D">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D8D76" w14:textId="77777777" w:rsidR="00AF23B3" w:rsidRDefault="00AF23B3">
      <w:r>
        <w:separator/>
      </w:r>
    </w:p>
  </w:footnote>
  <w:footnote w:type="continuationSeparator" w:id="0">
    <w:p w14:paraId="3EC96478" w14:textId="77777777" w:rsidR="00AF23B3" w:rsidRDefault="00AF23B3">
      <w:r>
        <w:continuationSeparator/>
      </w:r>
    </w:p>
  </w:footnote>
  <w:footnote w:id="1">
    <w:p w14:paraId="004FDFA3" w14:textId="77777777" w:rsidR="0024625C" w:rsidRDefault="0024625C" w:rsidP="0024625C">
      <w:pPr>
        <w:pStyle w:val="FootnoteText"/>
      </w:pPr>
      <w:r>
        <w:rPr>
          <w:rStyle w:val="FootnoteReference"/>
        </w:rPr>
        <w:footnoteRef/>
      </w:r>
      <w:r>
        <w:t xml:space="preserve"> </w:t>
      </w:r>
      <w:r w:rsidRPr="00197C32">
        <w:t xml:space="preserve">See Prevent Duty Guidance for Further Education </w:t>
      </w:r>
      <w:hyperlink r:id="rId1" w:history="1">
        <w:r w:rsidR="00EA1D0A" w:rsidRPr="00556895">
          <w:rPr>
            <w:rStyle w:val="Hyperlink"/>
          </w:rPr>
          <w:t>https://www.gov.uk/government/publications/prevent-duty-guidance/prevent-duty-guidance-for-further-education-institutions-in-england-and-wales</w:t>
        </w:r>
      </w:hyperlink>
      <w:r w:rsidR="00EA1D0A">
        <w:t xml:space="preserve"> </w:t>
      </w:r>
    </w:p>
  </w:footnote>
  <w:footnote w:id="2">
    <w:p w14:paraId="134328B7" w14:textId="77777777" w:rsidR="0024625C" w:rsidRDefault="0024625C" w:rsidP="0024625C">
      <w:pPr>
        <w:pStyle w:val="FootnoteText"/>
      </w:pPr>
      <w:r>
        <w:rPr>
          <w:rStyle w:val="FootnoteReference"/>
        </w:rPr>
        <w:footnoteRef/>
      </w:r>
      <w:r>
        <w:t xml:space="preserve"> </w:t>
      </w:r>
      <w:r w:rsidRPr="00197C32">
        <w:t xml:space="preserve">See Prevent Strategy </w:t>
      </w:r>
      <w:hyperlink r:id="rId2" w:history="1">
        <w:r w:rsidR="00EA1D0A" w:rsidRPr="00556895">
          <w:rPr>
            <w:rStyle w:val="Hyperlink"/>
          </w:rPr>
          <w:t>https://assets.publishing.service.gov.uk/government/uploads/system/uploads/attachment_data/file/97976/prevent-strategy-review.pdf</w:t>
        </w:r>
      </w:hyperlink>
      <w:r w:rsidR="00EA1D0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216F" w14:textId="77777777" w:rsidR="00425C25" w:rsidRDefault="00425C25" w:rsidP="00430D37">
    <w:pPr>
      <w:pStyle w:val="Header"/>
      <w:jc w:val="center"/>
      <w:rPr>
        <w:spacing w:val="-140"/>
      </w:rPr>
    </w:pPr>
  </w:p>
  <w:p w14:paraId="68F4A5D1" w14:textId="77777777" w:rsidR="006642C9" w:rsidRDefault="00C95090" w:rsidP="001F02A0">
    <w:pPr>
      <w:pStyle w:val="Header"/>
      <w:rPr>
        <w:rFonts w:asciiTheme="minorHAnsi" w:hAnsiTheme="minorHAnsi" w:cstheme="minorHAnsi"/>
        <w:b/>
        <w:color w:val="31849B" w:themeColor="accent5" w:themeShade="BF"/>
        <w:sz w:val="36"/>
      </w:rPr>
    </w:pPr>
    <w:r w:rsidRPr="007D2268">
      <w:rPr>
        <w:rFonts w:asciiTheme="minorHAnsi" w:hAnsiTheme="minorHAnsi" w:cstheme="minorHAnsi"/>
        <w:b/>
        <w:color w:val="31849B" w:themeColor="accent5" w:themeShade="BF"/>
        <w:sz w:val="36"/>
      </w:rPr>
      <w:t>Policy and Procedure</w:t>
    </w:r>
    <w:r w:rsidR="00F97EAF">
      <w:rPr>
        <w:rFonts w:asciiTheme="minorHAnsi" w:hAnsiTheme="minorHAnsi" w:cstheme="minorHAnsi"/>
        <w:b/>
        <w:color w:val="31849B" w:themeColor="accent5" w:themeShade="BF"/>
        <w:sz w:val="36"/>
      </w:rPr>
      <w:t xml:space="preserve"> 61</w:t>
    </w:r>
  </w:p>
  <w:p w14:paraId="0C8A44EE" w14:textId="77777777" w:rsidR="007D2268" w:rsidRPr="007D2268" w:rsidRDefault="00C95090" w:rsidP="006642C9">
    <w:pPr>
      <w:pStyle w:val="Header"/>
      <w:spacing w:line="240" w:lineRule="exact"/>
      <w:rPr>
        <w:rFonts w:asciiTheme="minorHAnsi" w:hAnsiTheme="minorHAnsi" w:cstheme="minorHAnsi"/>
        <w:b/>
        <w:color w:val="31849B" w:themeColor="accent5" w:themeShade="BF"/>
        <w:sz w:val="36"/>
      </w:rPr>
    </w:pPr>
    <w:r w:rsidRPr="007D2268">
      <w:rPr>
        <w:rFonts w:asciiTheme="minorHAnsi" w:hAnsiTheme="minorHAnsi" w:cstheme="minorHAnsi"/>
        <w:b/>
        <w:color w:val="31849B" w:themeColor="accent5" w:themeShade="BF"/>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03F07"/>
    <w:multiLevelType w:val="hybridMultilevel"/>
    <w:tmpl w:val="DC60CACA"/>
    <w:lvl w:ilvl="0" w:tplc="7F4C2A5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C0D66"/>
    <w:multiLevelType w:val="hybridMultilevel"/>
    <w:tmpl w:val="6D966E12"/>
    <w:lvl w:ilvl="0" w:tplc="C5827DE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D7109"/>
    <w:multiLevelType w:val="hybridMultilevel"/>
    <w:tmpl w:val="8470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72AC5"/>
    <w:multiLevelType w:val="hybridMultilevel"/>
    <w:tmpl w:val="F4F28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C03AF"/>
    <w:multiLevelType w:val="hybridMultilevel"/>
    <w:tmpl w:val="DDDAA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8653B"/>
    <w:multiLevelType w:val="hybridMultilevel"/>
    <w:tmpl w:val="1766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E6FBF"/>
    <w:multiLevelType w:val="hybridMultilevel"/>
    <w:tmpl w:val="F07EB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7656CB"/>
    <w:multiLevelType w:val="hybridMultilevel"/>
    <w:tmpl w:val="C35A0446"/>
    <w:lvl w:ilvl="0" w:tplc="C5827DE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F66A5"/>
    <w:multiLevelType w:val="hybridMultilevel"/>
    <w:tmpl w:val="F6DC0CE2"/>
    <w:lvl w:ilvl="0" w:tplc="C5827DE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3619E3"/>
    <w:multiLevelType w:val="hybridMultilevel"/>
    <w:tmpl w:val="77BA790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487862"/>
    <w:multiLevelType w:val="multilevel"/>
    <w:tmpl w:val="E6469C3A"/>
    <w:lvl w:ilvl="0">
      <w:start w:val="1"/>
      <w:numFmt w:val="decimal"/>
      <w:lvlText w:val="%1."/>
      <w:lvlJc w:val="left"/>
      <w:pPr>
        <w:ind w:left="720" w:hanging="360"/>
      </w:pPr>
      <w:rPr>
        <w:rFonts w:hint="default"/>
        <w:color w:val="31849B" w:themeColor="accent5" w:themeShade="BF"/>
      </w:rPr>
    </w:lvl>
    <w:lvl w:ilvl="1">
      <w:start w:val="1"/>
      <w:numFmt w:val="decimal"/>
      <w:isLgl/>
      <w:lvlText w:val="%1.%2"/>
      <w:lvlJc w:val="left"/>
      <w:pPr>
        <w:ind w:left="943"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B827DF"/>
    <w:multiLevelType w:val="hybridMultilevel"/>
    <w:tmpl w:val="B7549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015F8"/>
    <w:multiLevelType w:val="hybridMultilevel"/>
    <w:tmpl w:val="52C8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D57AE"/>
    <w:multiLevelType w:val="hybridMultilevel"/>
    <w:tmpl w:val="CAF4901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DC7CBC"/>
    <w:multiLevelType w:val="hybridMultilevel"/>
    <w:tmpl w:val="1B0AD1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122CD1"/>
    <w:multiLevelType w:val="hybridMultilevel"/>
    <w:tmpl w:val="05805AC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30CAC"/>
    <w:multiLevelType w:val="hybridMultilevel"/>
    <w:tmpl w:val="A1C22176"/>
    <w:lvl w:ilvl="0" w:tplc="FAEA8AF0">
      <w:start w:val="1"/>
      <w:numFmt w:val="decimal"/>
      <w:lvlText w:val="%1."/>
      <w:lvlJc w:val="left"/>
      <w:pPr>
        <w:tabs>
          <w:tab w:val="num" w:pos="227"/>
        </w:tabs>
        <w:ind w:left="22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2FA7BF5"/>
    <w:multiLevelType w:val="hybridMultilevel"/>
    <w:tmpl w:val="2954F3F2"/>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823"/>
        </w:tabs>
        <w:ind w:left="2823" w:hanging="360"/>
      </w:pPr>
      <w:rPr>
        <w:rFonts w:ascii="Courier New" w:hAnsi="Courier New" w:cs="Courier New" w:hint="default"/>
      </w:rPr>
    </w:lvl>
    <w:lvl w:ilvl="2" w:tplc="08090005" w:tentative="1">
      <w:start w:val="1"/>
      <w:numFmt w:val="bullet"/>
      <w:lvlText w:val=""/>
      <w:lvlJc w:val="left"/>
      <w:pPr>
        <w:tabs>
          <w:tab w:val="num" w:pos="3543"/>
        </w:tabs>
        <w:ind w:left="3543" w:hanging="360"/>
      </w:pPr>
      <w:rPr>
        <w:rFonts w:ascii="Wingdings" w:hAnsi="Wingdings" w:hint="default"/>
      </w:rPr>
    </w:lvl>
    <w:lvl w:ilvl="3" w:tplc="08090001" w:tentative="1">
      <w:start w:val="1"/>
      <w:numFmt w:val="bullet"/>
      <w:lvlText w:val=""/>
      <w:lvlJc w:val="left"/>
      <w:pPr>
        <w:tabs>
          <w:tab w:val="num" w:pos="4263"/>
        </w:tabs>
        <w:ind w:left="4263" w:hanging="360"/>
      </w:pPr>
      <w:rPr>
        <w:rFonts w:ascii="Symbol" w:hAnsi="Symbol" w:hint="default"/>
      </w:rPr>
    </w:lvl>
    <w:lvl w:ilvl="4" w:tplc="08090003" w:tentative="1">
      <w:start w:val="1"/>
      <w:numFmt w:val="bullet"/>
      <w:lvlText w:val="o"/>
      <w:lvlJc w:val="left"/>
      <w:pPr>
        <w:tabs>
          <w:tab w:val="num" w:pos="4983"/>
        </w:tabs>
        <w:ind w:left="4983" w:hanging="360"/>
      </w:pPr>
      <w:rPr>
        <w:rFonts w:ascii="Courier New" w:hAnsi="Courier New" w:cs="Courier New" w:hint="default"/>
      </w:rPr>
    </w:lvl>
    <w:lvl w:ilvl="5" w:tplc="08090005" w:tentative="1">
      <w:start w:val="1"/>
      <w:numFmt w:val="bullet"/>
      <w:lvlText w:val=""/>
      <w:lvlJc w:val="left"/>
      <w:pPr>
        <w:tabs>
          <w:tab w:val="num" w:pos="5703"/>
        </w:tabs>
        <w:ind w:left="5703" w:hanging="360"/>
      </w:pPr>
      <w:rPr>
        <w:rFonts w:ascii="Wingdings" w:hAnsi="Wingdings" w:hint="default"/>
      </w:rPr>
    </w:lvl>
    <w:lvl w:ilvl="6" w:tplc="08090001" w:tentative="1">
      <w:start w:val="1"/>
      <w:numFmt w:val="bullet"/>
      <w:lvlText w:val=""/>
      <w:lvlJc w:val="left"/>
      <w:pPr>
        <w:tabs>
          <w:tab w:val="num" w:pos="6423"/>
        </w:tabs>
        <w:ind w:left="6423" w:hanging="360"/>
      </w:pPr>
      <w:rPr>
        <w:rFonts w:ascii="Symbol" w:hAnsi="Symbol" w:hint="default"/>
      </w:rPr>
    </w:lvl>
    <w:lvl w:ilvl="7" w:tplc="08090003" w:tentative="1">
      <w:start w:val="1"/>
      <w:numFmt w:val="bullet"/>
      <w:lvlText w:val="o"/>
      <w:lvlJc w:val="left"/>
      <w:pPr>
        <w:tabs>
          <w:tab w:val="num" w:pos="7143"/>
        </w:tabs>
        <w:ind w:left="7143" w:hanging="360"/>
      </w:pPr>
      <w:rPr>
        <w:rFonts w:ascii="Courier New" w:hAnsi="Courier New" w:cs="Courier New" w:hint="default"/>
      </w:rPr>
    </w:lvl>
    <w:lvl w:ilvl="8" w:tplc="08090005" w:tentative="1">
      <w:start w:val="1"/>
      <w:numFmt w:val="bullet"/>
      <w:lvlText w:val=""/>
      <w:lvlJc w:val="left"/>
      <w:pPr>
        <w:tabs>
          <w:tab w:val="num" w:pos="7863"/>
        </w:tabs>
        <w:ind w:left="7863" w:hanging="360"/>
      </w:pPr>
      <w:rPr>
        <w:rFonts w:ascii="Wingdings" w:hAnsi="Wingdings" w:hint="default"/>
      </w:rPr>
    </w:lvl>
  </w:abstractNum>
  <w:abstractNum w:abstractNumId="18" w15:restartNumberingAfterBreak="0">
    <w:nsid w:val="58BD251E"/>
    <w:multiLevelType w:val="hybridMultilevel"/>
    <w:tmpl w:val="0CF205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A70D86"/>
    <w:multiLevelType w:val="multilevel"/>
    <w:tmpl w:val="0809001F"/>
    <w:lvl w:ilvl="0">
      <w:start w:val="1"/>
      <w:numFmt w:val="decimal"/>
      <w:lvlText w:val="%1."/>
      <w:lvlJc w:val="left"/>
      <w:pPr>
        <w:ind w:left="3075" w:hanging="360"/>
      </w:pPr>
      <w:rPr>
        <w:rFonts w:hint="default"/>
      </w:rPr>
    </w:lvl>
    <w:lvl w:ilvl="1">
      <w:start w:val="1"/>
      <w:numFmt w:val="decimal"/>
      <w:lvlText w:val="%1.%2."/>
      <w:lvlJc w:val="left"/>
      <w:pPr>
        <w:ind w:left="3507" w:hanging="432"/>
      </w:pPr>
    </w:lvl>
    <w:lvl w:ilvl="2">
      <w:start w:val="1"/>
      <w:numFmt w:val="decimal"/>
      <w:lvlText w:val="%1.%2.%3."/>
      <w:lvlJc w:val="left"/>
      <w:pPr>
        <w:ind w:left="3939" w:hanging="504"/>
      </w:pPr>
    </w:lvl>
    <w:lvl w:ilvl="3">
      <w:start w:val="1"/>
      <w:numFmt w:val="decimal"/>
      <w:lvlText w:val="%1.%2.%3.%4."/>
      <w:lvlJc w:val="left"/>
      <w:pPr>
        <w:ind w:left="4443" w:hanging="648"/>
      </w:pPr>
    </w:lvl>
    <w:lvl w:ilvl="4">
      <w:start w:val="1"/>
      <w:numFmt w:val="decimal"/>
      <w:lvlText w:val="%1.%2.%3.%4.%5."/>
      <w:lvlJc w:val="left"/>
      <w:pPr>
        <w:ind w:left="4947" w:hanging="792"/>
      </w:pPr>
    </w:lvl>
    <w:lvl w:ilvl="5">
      <w:start w:val="1"/>
      <w:numFmt w:val="decimal"/>
      <w:lvlText w:val="%1.%2.%3.%4.%5.%6."/>
      <w:lvlJc w:val="left"/>
      <w:pPr>
        <w:ind w:left="5451" w:hanging="936"/>
      </w:pPr>
    </w:lvl>
    <w:lvl w:ilvl="6">
      <w:start w:val="1"/>
      <w:numFmt w:val="decimal"/>
      <w:lvlText w:val="%1.%2.%3.%4.%5.%6.%7."/>
      <w:lvlJc w:val="left"/>
      <w:pPr>
        <w:ind w:left="5955" w:hanging="1080"/>
      </w:pPr>
    </w:lvl>
    <w:lvl w:ilvl="7">
      <w:start w:val="1"/>
      <w:numFmt w:val="decimal"/>
      <w:lvlText w:val="%1.%2.%3.%4.%5.%6.%7.%8."/>
      <w:lvlJc w:val="left"/>
      <w:pPr>
        <w:ind w:left="6459" w:hanging="1224"/>
      </w:pPr>
    </w:lvl>
    <w:lvl w:ilvl="8">
      <w:start w:val="1"/>
      <w:numFmt w:val="decimal"/>
      <w:lvlText w:val="%1.%2.%3.%4.%5.%6.%7.%8.%9."/>
      <w:lvlJc w:val="left"/>
      <w:pPr>
        <w:ind w:left="7035" w:hanging="1440"/>
      </w:pPr>
    </w:lvl>
  </w:abstractNum>
  <w:abstractNum w:abstractNumId="20" w15:restartNumberingAfterBreak="0">
    <w:nsid w:val="63E936E2"/>
    <w:multiLevelType w:val="hybridMultilevel"/>
    <w:tmpl w:val="7A00B6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7A6518"/>
    <w:multiLevelType w:val="hybridMultilevel"/>
    <w:tmpl w:val="19CE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58270E"/>
    <w:multiLevelType w:val="multilevel"/>
    <w:tmpl w:val="B75495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BD5D76"/>
    <w:multiLevelType w:val="hybridMultilevel"/>
    <w:tmpl w:val="81AC36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51015"/>
    <w:multiLevelType w:val="hybridMultilevel"/>
    <w:tmpl w:val="32A425C4"/>
    <w:lvl w:ilvl="0" w:tplc="7F4C2A5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892E8B"/>
    <w:multiLevelType w:val="hybridMultilevel"/>
    <w:tmpl w:val="69961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931461"/>
    <w:multiLevelType w:val="hybridMultilevel"/>
    <w:tmpl w:val="69265A9E"/>
    <w:lvl w:ilvl="0" w:tplc="C5827DE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3D16CB"/>
    <w:multiLevelType w:val="multilevel"/>
    <w:tmpl w:val="B75495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1"/>
  </w:num>
  <w:num w:numId="4">
    <w:abstractNumId w:val="25"/>
  </w:num>
  <w:num w:numId="5">
    <w:abstractNumId w:val="20"/>
  </w:num>
  <w:num w:numId="6">
    <w:abstractNumId w:val="22"/>
  </w:num>
  <w:num w:numId="7">
    <w:abstractNumId w:val="27"/>
  </w:num>
  <w:num w:numId="8">
    <w:abstractNumId w:val="8"/>
  </w:num>
  <w:num w:numId="9">
    <w:abstractNumId w:val="26"/>
  </w:num>
  <w:num w:numId="10">
    <w:abstractNumId w:val="1"/>
  </w:num>
  <w:num w:numId="11">
    <w:abstractNumId w:val="7"/>
  </w:num>
  <w:num w:numId="12">
    <w:abstractNumId w:val="15"/>
  </w:num>
  <w:num w:numId="13">
    <w:abstractNumId w:val="17"/>
  </w:num>
  <w:num w:numId="14">
    <w:abstractNumId w:val="4"/>
  </w:num>
  <w:num w:numId="15">
    <w:abstractNumId w:val="14"/>
  </w:num>
  <w:num w:numId="16">
    <w:abstractNumId w:val="13"/>
  </w:num>
  <w:num w:numId="17">
    <w:abstractNumId w:val="21"/>
  </w:num>
  <w:num w:numId="18">
    <w:abstractNumId w:val="23"/>
  </w:num>
  <w:num w:numId="19">
    <w:abstractNumId w:val="6"/>
  </w:num>
  <w:num w:numId="20">
    <w:abstractNumId w:val="2"/>
  </w:num>
  <w:num w:numId="21">
    <w:abstractNumId w:val="0"/>
  </w:num>
  <w:num w:numId="22">
    <w:abstractNumId w:val="24"/>
  </w:num>
  <w:num w:numId="23">
    <w:abstractNumId w:val="9"/>
  </w:num>
  <w:num w:numId="24">
    <w:abstractNumId w:val="18"/>
  </w:num>
  <w:num w:numId="25">
    <w:abstractNumId w:val="10"/>
  </w:num>
  <w:num w:numId="26">
    <w:abstractNumId w:val="19"/>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F6"/>
    <w:rsid w:val="00011F14"/>
    <w:rsid w:val="0002448D"/>
    <w:rsid w:val="00026B2E"/>
    <w:rsid w:val="000327BB"/>
    <w:rsid w:val="0004115C"/>
    <w:rsid w:val="000432A0"/>
    <w:rsid w:val="000606F9"/>
    <w:rsid w:val="000726D6"/>
    <w:rsid w:val="0007537C"/>
    <w:rsid w:val="000A7757"/>
    <w:rsid w:val="000F3836"/>
    <w:rsid w:val="001037AD"/>
    <w:rsid w:val="001101DA"/>
    <w:rsid w:val="00115147"/>
    <w:rsid w:val="00117842"/>
    <w:rsid w:val="00126BBC"/>
    <w:rsid w:val="001335CE"/>
    <w:rsid w:val="00134DB0"/>
    <w:rsid w:val="00136568"/>
    <w:rsid w:val="0014586C"/>
    <w:rsid w:val="00165B0A"/>
    <w:rsid w:val="00174488"/>
    <w:rsid w:val="00177072"/>
    <w:rsid w:val="00182E1B"/>
    <w:rsid w:val="00193F01"/>
    <w:rsid w:val="001949B0"/>
    <w:rsid w:val="00194D91"/>
    <w:rsid w:val="001A20BA"/>
    <w:rsid w:val="001B1945"/>
    <w:rsid w:val="001D7E44"/>
    <w:rsid w:val="001F02A0"/>
    <w:rsid w:val="001F7620"/>
    <w:rsid w:val="0021112F"/>
    <w:rsid w:val="00224908"/>
    <w:rsid w:val="0022572C"/>
    <w:rsid w:val="00231B07"/>
    <w:rsid w:val="00233497"/>
    <w:rsid w:val="0024625C"/>
    <w:rsid w:val="0025134D"/>
    <w:rsid w:val="00276FB3"/>
    <w:rsid w:val="002801EA"/>
    <w:rsid w:val="002B455A"/>
    <w:rsid w:val="002F4965"/>
    <w:rsid w:val="003009C9"/>
    <w:rsid w:val="00301463"/>
    <w:rsid w:val="0032002D"/>
    <w:rsid w:val="003265B5"/>
    <w:rsid w:val="003338CD"/>
    <w:rsid w:val="00353BD2"/>
    <w:rsid w:val="00372DD6"/>
    <w:rsid w:val="00386D01"/>
    <w:rsid w:val="00387AEA"/>
    <w:rsid w:val="003937C0"/>
    <w:rsid w:val="003971FC"/>
    <w:rsid w:val="003B67EE"/>
    <w:rsid w:val="003B7736"/>
    <w:rsid w:val="003D05B2"/>
    <w:rsid w:val="003D1DC9"/>
    <w:rsid w:val="003D539F"/>
    <w:rsid w:val="003F445A"/>
    <w:rsid w:val="0040315E"/>
    <w:rsid w:val="00410BED"/>
    <w:rsid w:val="00425C25"/>
    <w:rsid w:val="00430D37"/>
    <w:rsid w:val="00431D57"/>
    <w:rsid w:val="00447365"/>
    <w:rsid w:val="00457AF5"/>
    <w:rsid w:val="004615F5"/>
    <w:rsid w:val="00465BF4"/>
    <w:rsid w:val="004676F6"/>
    <w:rsid w:val="0047521C"/>
    <w:rsid w:val="00485AD8"/>
    <w:rsid w:val="00491D5B"/>
    <w:rsid w:val="004942FE"/>
    <w:rsid w:val="0049648F"/>
    <w:rsid w:val="004A095A"/>
    <w:rsid w:val="004A7E91"/>
    <w:rsid w:val="004B45BE"/>
    <w:rsid w:val="004D5565"/>
    <w:rsid w:val="004E497C"/>
    <w:rsid w:val="004F0DC1"/>
    <w:rsid w:val="005027CF"/>
    <w:rsid w:val="005132AA"/>
    <w:rsid w:val="00513E85"/>
    <w:rsid w:val="005200D1"/>
    <w:rsid w:val="0052187A"/>
    <w:rsid w:val="00526CC5"/>
    <w:rsid w:val="0056207B"/>
    <w:rsid w:val="00574696"/>
    <w:rsid w:val="00576511"/>
    <w:rsid w:val="00580FE1"/>
    <w:rsid w:val="005A38B0"/>
    <w:rsid w:val="005C1E01"/>
    <w:rsid w:val="005C7E09"/>
    <w:rsid w:val="005D5932"/>
    <w:rsid w:val="006037D5"/>
    <w:rsid w:val="00607D54"/>
    <w:rsid w:val="00611976"/>
    <w:rsid w:val="00623B3B"/>
    <w:rsid w:val="00640360"/>
    <w:rsid w:val="00645F4C"/>
    <w:rsid w:val="00654BD4"/>
    <w:rsid w:val="006620B0"/>
    <w:rsid w:val="00663065"/>
    <w:rsid w:val="006642C9"/>
    <w:rsid w:val="00665FC1"/>
    <w:rsid w:val="0067438B"/>
    <w:rsid w:val="006765CE"/>
    <w:rsid w:val="0067670A"/>
    <w:rsid w:val="00677E30"/>
    <w:rsid w:val="006A2951"/>
    <w:rsid w:val="006A3C2B"/>
    <w:rsid w:val="006A4AE3"/>
    <w:rsid w:val="006B0C85"/>
    <w:rsid w:val="006B3CBC"/>
    <w:rsid w:val="006C34FE"/>
    <w:rsid w:val="006E0AA5"/>
    <w:rsid w:val="006E7DF0"/>
    <w:rsid w:val="006F4544"/>
    <w:rsid w:val="006F48DD"/>
    <w:rsid w:val="00720CBE"/>
    <w:rsid w:val="007257E4"/>
    <w:rsid w:val="00726B98"/>
    <w:rsid w:val="007271DC"/>
    <w:rsid w:val="00742437"/>
    <w:rsid w:val="00754B82"/>
    <w:rsid w:val="00767E49"/>
    <w:rsid w:val="00770392"/>
    <w:rsid w:val="007816F0"/>
    <w:rsid w:val="00791965"/>
    <w:rsid w:val="00794DC3"/>
    <w:rsid w:val="007964F6"/>
    <w:rsid w:val="00797758"/>
    <w:rsid w:val="007A2E6D"/>
    <w:rsid w:val="007B3EFC"/>
    <w:rsid w:val="007B7D6C"/>
    <w:rsid w:val="007C6FBB"/>
    <w:rsid w:val="007D010D"/>
    <w:rsid w:val="007D2268"/>
    <w:rsid w:val="007E3DF2"/>
    <w:rsid w:val="00801071"/>
    <w:rsid w:val="00806F46"/>
    <w:rsid w:val="00807414"/>
    <w:rsid w:val="00807E70"/>
    <w:rsid w:val="0082497D"/>
    <w:rsid w:val="00830453"/>
    <w:rsid w:val="008304DD"/>
    <w:rsid w:val="008443DC"/>
    <w:rsid w:val="008468B6"/>
    <w:rsid w:val="008478CE"/>
    <w:rsid w:val="0085627D"/>
    <w:rsid w:val="00865F6A"/>
    <w:rsid w:val="00872480"/>
    <w:rsid w:val="008729C9"/>
    <w:rsid w:val="00875A8B"/>
    <w:rsid w:val="0087675C"/>
    <w:rsid w:val="008845B9"/>
    <w:rsid w:val="00887A8B"/>
    <w:rsid w:val="008A1A89"/>
    <w:rsid w:val="008A5882"/>
    <w:rsid w:val="008B0A44"/>
    <w:rsid w:val="008B248A"/>
    <w:rsid w:val="008B4C57"/>
    <w:rsid w:val="008C1C24"/>
    <w:rsid w:val="008F7F30"/>
    <w:rsid w:val="009060DF"/>
    <w:rsid w:val="00926B3B"/>
    <w:rsid w:val="00936B54"/>
    <w:rsid w:val="009526D5"/>
    <w:rsid w:val="0096177D"/>
    <w:rsid w:val="00964A28"/>
    <w:rsid w:val="00970349"/>
    <w:rsid w:val="00985F36"/>
    <w:rsid w:val="00986590"/>
    <w:rsid w:val="00996830"/>
    <w:rsid w:val="009B48E8"/>
    <w:rsid w:val="009F66A8"/>
    <w:rsid w:val="00A12D6D"/>
    <w:rsid w:val="00A325BD"/>
    <w:rsid w:val="00A33E93"/>
    <w:rsid w:val="00A41ECB"/>
    <w:rsid w:val="00A42B90"/>
    <w:rsid w:val="00A45393"/>
    <w:rsid w:val="00A50AE2"/>
    <w:rsid w:val="00A50E1F"/>
    <w:rsid w:val="00A54E89"/>
    <w:rsid w:val="00A64DC1"/>
    <w:rsid w:val="00A70CF3"/>
    <w:rsid w:val="00A73A57"/>
    <w:rsid w:val="00A86251"/>
    <w:rsid w:val="00A9279A"/>
    <w:rsid w:val="00AA4B9E"/>
    <w:rsid w:val="00AB2DB2"/>
    <w:rsid w:val="00AC4BDC"/>
    <w:rsid w:val="00AC5992"/>
    <w:rsid w:val="00AF12C3"/>
    <w:rsid w:val="00AF23B3"/>
    <w:rsid w:val="00B129E7"/>
    <w:rsid w:val="00B35247"/>
    <w:rsid w:val="00B46A09"/>
    <w:rsid w:val="00B64E5C"/>
    <w:rsid w:val="00B65212"/>
    <w:rsid w:val="00B71CDE"/>
    <w:rsid w:val="00B94A3E"/>
    <w:rsid w:val="00B94DD0"/>
    <w:rsid w:val="00BB183C"/>
    <w:rsid w:val="00BB2527"/>
    <w:rsid w:val="00BB4C2E"/>
    <w:rsid w:val="00BD4935"/>
    <w:rsid w:val="00BD780D"/>
    <w:rsid w:val="00C25841"/>
    <w:rsid w:val="00C3509B"/>
    <w:rsid w:val="00C436DF"/>
    <w:rsid w:val="00C645B8"/>
    <w:rsid w:val="00C72797"/>
    <w:rsid w:val="00C75B59"/>
    <w:rsid w:val="00C95090"/>
    <w:rsid w:val="00CC2F0F"/>
    <w:rsid w:val="00CC678B"/>
    <w:rsid w:val="00CD4FBD"/>
    <w:rsid w:val="00CD6533"/>
    <w:rsid w:val="00CE2BAA"/>
    <w:rsid w:val="00CF478C"/>
    <w:rsid w:val="00D11E4D"/>
    <w:rsid w:val="00D15D16"/>
    <w:rsid w:val="00D700C8"/>
    <w:rsid w:val="00D715C7"/>
    <w:rsid w:val="00D82CC6"/>
    <w:rsid w:val="00D90390"/>
    <w:rsid w:val="00D95C9C"/>
    <w:rsid w:val="00DC3A1C"/>
    <w:rsid w:val="00DE4878"/>
    <w:rsid w:val="00DE51EF"/>
    <w:rsid w:val="00E10DE2"/>
    <w:rsid w:val="00E113B2"/>
    <w:rsid w:val="00E13612"/>
    <w:rsid w:val="00E26D38"/>
    <w:rsid w:val="00E628C8"/>
    <w:rsid w:val="00E85CCF"/>
    <w:rsid w:val="00E95510"/>
    <w:rsid w:val="00EA1D0A"/>
    <w:rsid w:val="00EA28EB"/>
    <w:rsid w:val="00EB7996"/>
    <w:rsid w:val="00EC5FBB"/>
    <w:rsid w:val="00EC7B3E"/>
    <w:rsid w:val="00ED4E9F"/>
    <w:rsid w:val="00ED512E"/>
    <w:rsid w:val="00EF148B"/>
    <w:rsid w:val="00EF4F2E"/>
    <w:rsid w:val="00F10929"/>
    <w:rsid w:val="00F12F42"/>
    <w:rsid w:val="00F41D97"/>
    <w:rsid w:val="00F67612"/>
    <w:rsid w:val="00F84AD2"/>
    <w:rsid w:val="00F97EAF"/>
    <w:rsid w:val="00FA21AB"/>
    <w:rsid w:val="00FC666A"/>
    <w:rsid w:val="00FC772F"/>
    <w:rsid w:val="00FD44D8"/>
    <w:rsid w:val="00FD7274"/>
    <w:rsid w:val="00FE2181"/>
    <w:rsid w:val="00FF5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792A9"/>
  <w15:docId w15:val="{F07E9599-9232-4A0D-8991-E7EA6B8F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231B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1B0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28C8"/>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25cmRight025cm">
    <w:name w:val="Style Left:  0.25 cm Right:  0.25 cm"/>
    <w:basedOn w:val="Normal"/>
    <w:rsid w:val="004942FE"/>
    <w:pPr>
      <w:ind w:left="454" w:right="142"/>
    </w:pPr>
    <w:rPr>
      <w:rFonts w:ascii="Arial" w:hAnsi="Arial"/>
      <w:b/>
    </w:rPr>
  </w:style>
  <w:style w:type="paragraph" w:styleId="Header">
    <w:name w:val="header"/>
    <w:basedOn w:val="Normal"/>
    <w:rsid w:val="00430D37"/>
    <w:pPr>
      <w:tabs>
        <w:tab w:val="center" w:pos="4153"/>
        <w:tab w:val="right" w:pos="8306"/>
      </w:tabs>
    </w:pPr>
  </w:style>
  <w:style w:type="paragraph" w:styleId="Footer">
    <w:name w:val="footer"/>
    <w:basedOn w:val="Normal"/>
    <w:rsid w:val="00430D37"/>
    <w:pPr>
      <w:tabs>
        <w:tab w:val="center" w:pos="4153"/>
        <w:tab w:val="right" w:pos="8306"/>
      </w:tabs>
    </w:pPr>
  </w:style>
  <w:style w:type="table" w:styleId="TableGrid">
    <w:name w:val="Table Grid"/>
    <w:basedOn w:val="TableNormal"/>
    <w:rsid w:val="00ED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231B07"/>
    <w:pPr>
      <w:ind w:left="360"/>
      <w:jc w:val="both"/>
    </w:pPr>
    <w:rPr>
      <w:rFonts w:ascii="Arial" w:hAnsi="Arial"/>
      <w:bCs/>
      <w:szCs w:val="20"/>
    </w:rPr>
  </w:style>
  <w:style w:type="paragraph" w:styleId="Title">
    <w:name w:val="Title"/>
    <w:basedOn w:val="Normal"/>
    <w:qFormat/>
    <w:rsid w:val="00986590"/>
    <w:pPr>
      <w:jc w:val="center"/>
    </w:pPr>
    <w:rPr>
      <w:rFonts w:ascii="Arial" w:hAnsi="Arial"/>
      <w:b/>
      <w:sz w:val="28"/>
      <w:szCs w:val="20"/>
    </w:rPr>
  </w:style>
  <w:style w:type="paragraph" w:styleId="BodyText">
    <w:name w:val="Body Text"/>
    <w:basedOn w:val="Normal"/>
    <w:rsid w:val="00CD4FBD"/>
    <w:pPr>
      <w:spacing w:after="120"/>
    </w:pPr>
  </w:style>
  <w:style w:type="paragraph" w:styleId="BodyText2">
    <w:name w:val="Body Text 2"/>
    <w:basedOn w:val="Normal"/>
    <w:rsid w:val="00CD4FBD"/>
    <w:pPr>
      <w:spacing w:after="120" w:line="480" w:lineRule="auto"/>
    </w:pPr>
    <w:rPr>
      <w:rFonts w:ascii="Arial" w:hAnsi="Arial"/>
    </w:rPr>
  </w:style>
  <w:style w:type="paragraph" w:styleId="BalloonText">
    <w:name w:val="Balloon Text"/>
    <w:basedOn w:val="Normal"/>
    <w:link w:val="BalloonTextChar"/>
    <w:rsid w:val="001D7E44"/>
    <w:rPr>
      <w:rFonts w:ascii="Tahoma" w:hAnsi="Tahoma" w:cs="Tahoma"/>
      <w:sz w:val="16"/>
      <w:szCs w:val="16"/>
    </w:rPr>
  </w:style>
  <w:style w:type="character" w:customStyle="1" w:styleId="BalloonTextChar">
    <w:name w:val="Balloon Text Char"/>
    <w:link w:val="BalloonText"/>
    <w:rsid w:val="001D7E44"/>
    <w:rPr>
      <w:rFonts w:ascii="Tahoma" w:hAnsi="Tahoma" w:cs="Tahoma"/>
      <w:sz w:val="16"/>
      <w:szCs w:val="16"/>
      <w:lang w:eastAsia="en-US"/>
    </w:rPr>
  </w:style>
  <w:style w:type="character" w:styleId="Hyperlink">
    <w:name w:val="Hyperlink"/>
    <w:rsid w:val="001949B0"/>
    <w:rPr>
      <w:color w:val="0000FF"/>
      <w:u w:val="single"/>
    </w:rPr>
  </w:style>
  <w:style w:type="table" w:customStyle="1" w:styleId="GridTable1Light-Accent11">
    <w:name w:val="Grid Table 1 Light - Accent 11"/>
    <w:basedOn w:val="TableNormal"/>
    <w:uiPriority w:val="46"/>
    <w:rsid w:val="0067438B"/>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ListParagraph">
    <w:name w:val="List Paragraph"/>
    <w:basedOn w:val="Normal"/>
    <w:uiPriority w:val="34"/>
    <w:qFormat/>
    <w:rsid w:val="00996830"/>
    <w:pPr>
      <w:ind w:left="720"/>
      <w:contextualSpacing/>
    </w:pPr>
  </w:style>
  <w:style w:type="paragraph" w:styleId="FootnoteText">
    <w:name w:val="footnote text"/>
    <w:basedOn w:val="Normal"/>
    <w:link w:val="FootnoteTextChar"/>
    <w:uiPriority w:val="99"/>
    <w:unhideWhenUsed/>
    <w:rsid w:val="0024625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4625C"/>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24625C"/>
    <w:rPr>
      <w:vertAlign w:val="superscript"/>
    </w:rPr>
  </w:style>
  <w:style w:type="character" w:styleId="FollowedHyperlink">
    <w:name w:val="FollowedHyperlink"/>
    <w:basedOn w:val="DefaultParagraphFont"/>
    <w:semiHidden/>
    <w:unhideWhenUsed/>
    <w:rsid w:val="00EA1D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54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97976/prevent-strategy-review.pdf" TargetMode="External"/><Relationship Id="rId1" Type="http://schemas.openxmlformats.org/officeDocument/2006/relationships/hyperlink" Target="https://www.gov.uk/government/publications/prevent-duty-guidance/prevent-duty-guidance-for-further-education-institutions-in-england-and-wa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ine.patrick\Application%20Data\Microsoft\Templates\Agenda%20Templat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DC65810F9CDE45A884382034990131" ma:contentTypeVersion="22" ma:contentTypeDescription="Create a new document." ma:contentTypeScope="" ma:versionID="bae0fd5f8473a591aae97a1ae9225371">
  <xsd:schema xmlns:xsd="http://www.w3.org/2001/XMLSchema" xmlns:xs="http://www.w3.org/2001/XMLSchema" xmlns:p="http://schemas.microsoft.com/office/2006/metadata/properties" xmlns:ns1="e9b30c5b-ed23-413b-8acc-e87e18250478" xmlns:ns3="9ba5b622-9bea-4e76-a9b4-81fbe07a55a2" xmlns:ns4="b8ba1014-f387-4088-8c34-c67e8d1a8198" targetNamespace="http://schemas.microsoft.com/office/2006/metadata/properties" ma:root="true" ma:fieldsID="69ab9e7c32bb9e7193882e927fde33c4" ns1:_="" ns3:_="" ns4:_="">
    <xsd:import namespace="e9b30c5b-ed23-413b-8acc-e87e18250478"/>
    <xsd:import namespace="9ba5b622-9bea-4e76-a9b4-81fbe07a55a2"/>
    <xsd:import namespace="b8ba1014-f387-4088-8c34-c67e8d1a8198"/>
    <xsd:element name="properties">
      <xsd:complexType>
        <xsd:sequence>
          <xsd:element name="documentManagement">
            <xsd:complexType>
              <xsd:all>
                <xsd:element ref="ns1:Number" minOccurs="0"/>
                <xsd:element ref="ns3:TaxCatchAll" minOccurs="0"/>
                <xsd:element ref="ns4:Date_x0020_Published" minOccurs="0"/>
                <xsd:element ref="ns4:Next_x0020_Review_x0020_Date" minOccurs="0"/>
                <xsd:element ref="ns1:MediaServiceMetadata" minOccurs="0"/>
                <xsd:element ref="ns1:MediaServiceFastMetadata" minOccurs="0"/>
                <xsd:element ref="ns1:d0de197855674e5996af72216adce2ca" minOccurs="0"/>
                <xsd:element ref="ns1:Responsibility" minOccurs="0"/>
                <xsd:element ref="ns1:MediaServiceAutoKeyPoints" minOccurs="0"/>
                <xsd:element ref="ns1:MediaServiceKeyPoints" minOccurs="0"/>
                <xsd:element ref="ns3:SharedWithUsers" minOccurs="0"/>
                <xsd:element ref="ns3:SharedWithDetails" minOccurs="0"/>
                <xsd:element ref="ns1:Status" minOccurs="0"/>
                <xsd:element ref="ns1:Assignedto" minOccurs="0"/>
                <xsd:element ref="ns1: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0c5b-ed23-413b-8acc-e87e18250478" elementFormDefault="qualified">
    <xsd:import namespace="http://schemas.microsoft.com/office/2006/documentManagement/types"/>
    <xsd:import namespace="http://schemas.microsoft.com/office/infopath/2007/PartnerControls"/>
    <xsd:element name="Number" ma:index="0" nillable="true" ma:displayName="No." ma:decimals="0" ma:description="The number of the Policy or Procedure" ma:format="Dropdown" ma:internalName="Number"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0de197855674e5996af72216adce2ca" ma:index="15" nillable="true" ma:taxonomy="true" ma:internalName="d0de197855674e5996af72216adce2ca" ma:taxonomyFieldName="Department" ma:displayName="Department" ma:default="" ma:fieldId="{d0de1978-5567-4e59-96af-72216adce2ca}" ma:sspId="b77a5276-fcfd-454d-98b2-15a882781041" ma:termSetId="8ed8c9ea-7052-4c1d-a4d7-b9c10bffea6f" ma:anchorId="00000000-0000-0000-0000-000000000000" ma:open="false" ma:isKeyword="false">
      <xsd:complexType>
        <xsd:sequence>
          <xsd:element ref="pc:Terms" minOccurs="0" maxOccurs="1"/>
        </xsd:sequence>
      </xsd:complexType>
    </xsd:element>
    <xsd:element name="Responsibility" ma:index="16" nillable="true" ma:displayName="Responsibility" ma:list="{60f6251b-7f93-4f8a-843f-e93871b6a10e}" ma:internalName="Responsibility"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format="Dropdown" ma:internalName="Status">
      <xsd:simpleType>
        <xsd:restriction base="dms:Choice">
          <xsd:enumeration value="Pending Approval by Principal"/>
          <xsd:enumeration value="Outstanding"/>
          <xsd:enumeration value="Up to date"/>
          <xsd:enumeration value="Quality to Action"/>
          <xsd:enumeration value="Pending Approval by H&amp;S Committee"/>
        </xsd:restriction>
      </xsd:simpleType>
    </xsd:element>
    <xsd:element name="Assignedto" ma:index="22" nillable="true" ma:displayName="Responsible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om" ma:index="23" nillable="true" ma:displayName="Require Approval from:" ma:format="Dropdown" ma:list="UserInfo" ma:SharePointGroup="0" ma:internalName="Fro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a5b622-9bea-4e76-a9b4-81fbe07a55a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d8fa65ed-ff4d-4c17-8992-24fc4e81ab76}" ma:internalName="TaxCatchAll" ma:showField="CatchAllData" ma:web="9ba5b622-9bea-4e76-a9b4-81fbe07a55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Published xmlns="b8ba1014-f387-4088-8c34-c67e8d1a8198">2021-07-11T23:00:00+00:00</Date_x0020_Published>
    <Next_x0020_Review_x0020_Date xmlns="b8ba1014-f387-4088-8c34-c67e8d1a8198">2022-06-30T23:00:00+00:00</Next_x0020_Review_x0020_Date>
    <TaxCatchAll xmlns="9ba5b622-9bea-4e76-a9b4-81fbe07a55a2">
      <Value>2</Value>
    </TaxCatchAll>
    <Number xmlns="e9b30c5b-ed23-413b-8acc-e87e18250478">61</Number>
    <Responsibility xmlns="e9b30c5b-ed23-413b-8acc-e87e18250478">7</Responsibility>
    <d0de197855674e5996af72216adce2ca xmlns="e9b30c5b-ed23-413b-8acc-e87e18250478">
      <Terms xmlns="http://schemas.microsoft.com/office/infopath/2007/PartnerControls">
        <TermInfo xmlns="http://schemas.microsoft.com/office/infopath/2007/PartnerControls">
          <TermName xmlns="http://schemas.microsoft.com/office/infopath/2007/PartnerControls">Oaklands College</TermName>
          <TermId xmlns="http://schemas.microsoft.com/office/infopath/2007/PartnerControls">88df56ba-5a5a-448a-8d4d-f82e9651c881</TermId>
        </TermInfo>
      </Terms>
    </d0de197855674e5996af72216adce2ca>
    <Status xmlns="e9b30c5b-ed23-413b-8acc-e87e18250478">Up to date</Status>
    <Assignedto xmlns="e9b30c5b-ed23-413b-8acc-e87e18250478">
      <UserInfo>
        <DisplayName>Nicola.Caiger@oaklands.ac.uk</DisplayName>
        <AccountId>61</AccountId>
        <AccountType/>
      </UserInfo>
    </Assignedto>
    <From xmlns="e9b30c5b-ed23-413b-8acc-e87e18250478">
      <UserInfo>
        <DisplayName/>
        <AccountId xsi:nil="true"/>
        <AccountType/>
      </UserInfo>
    </From>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8AEF5-3498-4620-8483-51C624000141}">
  <ds:schemaRefs>
    <ds:schemaRef ds:uri="http://schemas.microsoft.com/office/2006/metadata/longProperties"/>
  </ds:schemaRefs>
</ds:datastoreItem>
</file>

<file path=customXml/itemProps2.xml><?xml version="1.0" encoding="utf-8"?>
<ds:datastoreItem xmlns:ds="http://schemas.openxmlformats.org/officeDocument/2006/customXml" ds:itemID="{6D09EEFF-5652-42E7-893A-A42AEF6F2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30c5b-ed23-413b-8acc-e87e18250478"/>
    <ds:schemaRef ds:uri="9ba5b622-9bea-4e76-a9b4-81fbe07a55a2"/>
    <ds:schemaRef ds:uri="b8ba1014-f387-4088-8c34-c67e8d1a8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8E0E3-C009-4D6B-96CA-B960CAD618E6}">
  <ds:schemaRefs>
    <ds:schemaRef ds:uri="http://schemas.microsoft.com/office/2006/metadata/properties"/>
    <ds:schemaRef ds:uri="http://schemas.microsoft.com/office/infopath/2007/PartnerControls"/>
    <ds:schemaRef ds:uri="b8ba1014-f387-4088-8c34-c67e8d1a8198"/>
    <ds:schemaRef ds:uri="9ba5b622-9bea-4e76-a9b4-81fbe07a55a2"/>
    <ds:schemaRef ds:uri="e9b30c5b-ed23-413b-8acc-e87e18250478"/>
  </ds:schemaRefs>
</ds:datastoreItem>
</file>

<file path=customXml/itemProps4.xml><?xml version="1.0" encoding="utf-8"?>
<ds:datastoreItem xmlns:ds="http://schemas.openxmlformats.org/officeDocument/2006/customXml" ds:itemID="{C58BDFF4-32E9-4E31-A3A7-1A7719A0D2C8}">
  <ds:schemaRefs>
    <ds:schemaRef ds:uri="http://schemas.openxmlformats.org/officeDocument/2006/bibliography"/>
  </ds:schemaRefs>
</ds:datastoreItem>
</file>

<file path=customXml/itemProps5.xml><?xml version="1.0" encoding="utf-8"?>
<ds:datastoreItem xmlns:ds="http://schemas.openxmlformats.org/officeDocument/2006/customXml" ds:itemID="{2661A72E-3256-43E6-AD8E-AD0D9EC913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Template - Portrait</Template>
  <TotalTime>4</TotalTime>
  <Pages>1</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Freedom of Speech and Visiting Speakers Policy</vt:lpstr>
    </vt:vector>
  </TitlesOfParts>
  <Company>Oaklands College</Company>
  <LinksUpToDate>false</LinksUpToDate>
  <CharactersWithSpaces>6387</CharactersWithSpaces>
  <SharedDoc>false</SharedDoc>
  <HLinks>
    <vt:vector size="6" baseType="variant">
      <vt:variant>
        <vt:i4>1835019</vt:i4>
      </vt:variant>
      <vt:variant>
        <vt:i4>0</vt:i4>
      </vt:variant>
      <vt:variant>
        <vt:i4>0</vt:i4>
      </vt:variant>
      <vt:variant>
        <vt:i4>5</vt:i4>
      </vt:variant>
      <vt:variant>
        <vt:lpwstr>https://www.gov.uk/government/publications/prevent-duty-guidance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 and Visiting Speakers Policy</dc:title>
  <dc:creator>Caroline.Patrick</dc:creator>
  <cp:lastModifiedBy>Wendy Rayner</cp:lastModifiedBy>
  <cp:revision>3</cp:revision>
  <cp:lastPrinted>2019-11-08T12:52:00Z</cp:lastPrinted>
  <dcterms:created xsi:type="dcterms:W3CDTF">2021-07-12T12:06:00Z</dcterms:created>
  <dcterms:modified xsi:type="dcterms:W3CDTF">2021-09-21T09:58:00Z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lege Department">
    <vt:lpwstr/>
  </property>
  <property fmtid="{D5CDD505-2E9C-101B-9397-08002B2CF9AE}" pid="3" name="ContentType">
    <vt:lpwstr>Document</vt:lpwstr>
  </property>
  <property fmtid="{D5CDD505-2E9C-101B-9397-08002B2CF9AE}" pid="4" name="Job Role">
    <vt:lpwstr>Director of Learner Experience and Quality Improvement</vt:lpwstr>
  </property>
  <property fmtid="{D5CDD505-2E9C-101B-9397-08002B2CF9AE}" pid="5" name="Document Type">
    <vt:lpwstr>3</vt:lpwstr>
  </property>
  <property fmtid="{D5CDD505-2E9C-101B-9397-08002B2CF9AE}" pid="6" name="Order">
    <vt:lpwstr>1100.00000000000</vt:lpwstr>
  </property>
  <property fmtid="{D5CDD505-2E9C-101B-9397-08002B2CF9AE}" pid="7" name="Impact Assessment Date">
    <vt:lpwstr>2012-01-05T00:00:00Z</vt:lpwstr>
  </property>
  <property fmtid="{D5CDD505-2E9C-101B-9397-08002B2CF9AE}" pid="8" name="ContentTypeId">
    <vt:lpwstr>0x01010012DC65810F9CDE45A884382034990131</vt:lpwstr>
  </property>
  <property fmtid="{D5CDD505-2E9C-101B-9397-08002B2CF9AE}" pid="9" name="Responsibility">
    <vt:lpwstr/>
  </property>
  <property fmtid="{D5CDD505-2E9C-101B-9397-08002B2CF9AE}" pid="10" name="Department">
    <vt:lpwstr>2;#Oaklands College|88df56ba-5a5a-448a-8d4d-f82e9651c881</vt:lpwstr>
  </property>
</Properties>
</file>