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51CE" w14:textId="77777777" w:rsidR="005B2B2F" w:rsidRDefault="00606832" w:rsidP="005B2B2F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>
        <w:rPr>
          <w:b/>
          <w:bCs/>
          <w:sz w:val="32"/>
          <w:szCs w:val="32"/>
          <w:u w:val="single"/>
          <w:shd w:val="clear" w:color="auto" w:fill="FFFFFF"/>
        </w:rPr>
        <w:t>OAKLANDS COLLEGE</w:t>
      </w:r>
    </w:p>
    <w:p w14:paraId="3E53A69D" w14:textId="77777777" w:rsidR="005B2B2F" w:rsidRDefault="005B2B2F" w:rsidP="005B2B2F">
      <w:pPr>
        <w:pStyle w:val="NoSpacing"/>
        <w:jc w:val="center"/>
        <w:rPr>
          <w:b/>
          <w:bCs/>
          <w:sz w:val="28"/>
          <w:szCs w:val="28"/>
          <w:u w:val="single"/>
          <w:shd w:val="clear" w:color="auto" w:fill="FFFFFF"/>
        </w:rPr>
      </w:pPr>
    </w:p>
    <w:p w14:paraId="178890F7" w14:textId="51BCD192" w:rsidR="00F63DFE" w:rsidRPr="005B2B2F" w:rsidRDefault="00F63DFE" w:rsidP="005B2B2F">
      <w:pPr>
        <w:pStyle w:val="NoSpacing"/>
        <w:jc w:val="center"/>
        <w:rPr>
          <w:b/>
          <w:bCs/>
          <w:sz w:val="24"/>
          <w:szCs w:val="24"/>
          <w:u w:val="single"/>
          <w:shd w:val="clear" w:color="auto" w:fill="FFFFFF"/>
        </w:rPr>
      </w:pPr>
      <w:r w:rsidRPr="005B2B2F">
        <w:rPr>
          <w:b/>
          <w:bCs/>
          <w:sz w:val="24"/>
          <w:szCs w:val="24"/>
          <w:u w:val="single"/>
          <w:shd w:val="clear" w:color="auto" w:fill="FFFFFF"/>
        </w:rPr>
        <w:t>SUBCONTRACTING</w:t>
      </w:r>
      <w:r w:rsidR="00606832" w:rsidRPr="005B2B2F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5B2B2F" w:rsidRPr="005B2B2F">
        <w:rPr>
          <w:b/>
          <w:bCs/>
          <w:sz w:val="24"/>
          <w:szCs w:val="24"/>
          <w:u w:val="single"/>
          <w:shd w:val="clear" w:color="auto" w:fill="FFFFFF"/>
        </w:rPr>
        <w:t xml:space="preserve">PARTNERS AND MANAGEMENT FEE STRUCTURE - </w:t>
      </w:r>
      <w:r w:rsidR="00606832" w:rsidRPr="005B2B2F">
        <w:rPr>
          <w:b/>
          <w:bCs/>
          <w:sz w:val="24"/>
          <w:szCs w:val="24"/>
          <w:u w:val="single"/>
          <w:shd w:val="clear" w:color="auto" w:fill="FFFFFF"/>
        </w:rPr>
        <w:t>202</w:t>
      </w:r>
      <w:r w:rsidR="0012411F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="00606832" w:rsidRPr="005B2B2F">
        <w:rPr>
          <w:b/>
          <w:bCs/>
          <w:sz w:val="24"/>
          <w:szCs w:val="24"/>
          <w:u w:val="single"/>
          <w:shd w:val="clear" w:color="auto" w:fill="FFFFFF"/>
        </w:rPr>
        <w:t>/2</w:t>
      </w:r>
      <w:r w:rsidR="0012411F">
        <w:rPr>
          <w:b/>
          <w:bCs/>
          <w:sz w:val="24"/>
          <w:szCs w:val="24"/>
          <w:u w:val="single"/>
          <w:shd w:val="clear" w:color="auto" w:fill="FFFFFF"/>
        </w:rPr>
        <w:t>2</w:t>
      </w:r>
    </w:p>
    <w:p w14:paraId="1958D39E" w14:textId="77777777" w:rsidR="00F63DFE" w:rsidRDefault="00F63DFE" w:rsidP="009074AA">
      <w:pPr>
        <w:pStyle w:val="NoSpacing"/>
        <w:rPr>
          <w:shd w:val="clear" w:color="auto" w:fill="FFFFFF"/>
        </w:rPr>
      </w:pPr>
    </w:p>
    <w:p w14:paraId="26EEC16B" w14:textId="77777777" w:rsidR="00432973" w:rsidRDefault="00713275" w:rsidP="009074AA">
      <w:pPr>
        <w:pStyle w:val="NoSpacing"/>
        <w:rPr>
          <w:b/>
          <w:bCs/>
          <w:u w:val="single"/>
          <w:shd w:val="clear" w:color="auto" w:fill="FFFFFF"/>
        </w:rPr>
      </w:pPr>
      <w:r w:rsidRPr="00713275">
        <w:rPr>
          <w:b/>
          <w:bCs/>
          <w:u w:val="single"/>
          <w:shd w:val="clear" w:color="auto" w:fill="FFFFFF"/>
        </w:rPr>
        <w:t>Rationale for subcontracting</w:t>
      </w:r>
    </w:p>
    <w:p w14:paraId="58FC60FA" w14:textId="004E7831" w:rsidR="00713275" w:rsidRDefault="00432973" w:rsidP="009074AA">
      <w:pPr>
        <w:pStyle w:val="NoSpacing"/>
        <w:rPr>
          <w:shd w:val="clear" w:color="auto" w:fill="FFFFFF"/>
        </w:rPr>
      </w:pPr>
      <w:r w:rsidRPr="00432973">
        <w:rPr>
          <w:shd w:val="clear" w:color="auto" w:fill="FFFFFF"/>
        </w:rPr>
        <w:t>See</w:t>
      </w:r>
      <w:r>
        <w:rPr>
          <w:shd w:val="clear" w:color="auto" w:fill="FFFFFF"/>
        </w:rPr>
        <w:t xml:space="preserve"> Oaklands College Supply Chain Fees and Charges Policy 202</w:t>
      </w:r>
      <w:r w:rsidR="0012411F">
        <w:rPr>
          <w:shd w:val="clear" w:color="auto" w:fill="FFFFFF"/>
        </w:rPr>
        <w:t>1</w:t>
      </w:r>
      <w:r>
        <w:rPr>
          <w:shd w:val="clear" w:color="auto" w:fill="FFFFFF"/>
        </w:rPr>
        <w:t>-202</w:t>
      </w:r>
      <w:r w:rsidR="0012411F">
        <w:rPr>
          <w:shd w:val="clear" w:color="auto" w:fill="FFFFFF"/>
        </w:rPr>
        <w:t>2</w:t>
      </w:r>
      <w:r>
        <w:rPr>
          <w:shd w:val="clear" w:color="auto" w:fill="FFFFFF"/>
        </w:rPr>
        <w:t xml:space="preserve"> on the College website at the following link:</w:t>
      </w:r>
    </w:p>
    <w:p w14:paraId="2DD603F0" w14:textId="6BDF7F12" w:rsidR="00713275" w:rsidRDefault="00E43623" w:rsidP="009074AA">
      <w:pPr>
        <w:pStyle w:val="NoSpacing"/>
        <w:rPr>
          <w:shd w:val="clear" w:color="auto" w:fill="FFFFFF"/>
        </w:rPr>
      </w:pPr>
      <w:hyperlink r:id="rId5" w:history="1">
        <w:r w:rsidR="00432973" w:rsidRPr="00432973">
          <w:rPr>
            <w:rStyle w:val="Hyperlink"/>
            <w:shd w:val="clear" w:color="auto" w:fill="FFFFFF"/>
          </w:rPr>
          <w:t>https://www.oaklands.ac.uk/about-us/college-policies</w:t>
        </w:r>
      </w:hyperlink>
    </w:p>
    <w:p w14:paraId="4CC621C8" w14:textId="77777777" w:rsidR="00713275" w:rsidRDefault="00713275" w:rsidP="009074AA">
      <w:pPr>
        <w:pStyle w:val="NoSpacing"/>
        <w:rPr>
          <w:shd w:val="clear" w:color="auto" w:fill="FFFFFF"/>
        </w:rPr>
      </w:pPr>
    </w:p>
    <w:p w14:paraId="7DC850BE" w14:textId="0B3029F3" w:rsidR="009074AA" w:rsidRPr="00713275" w:rsidRDefault="0011197B" w:rsidP="009074AA">
      <w:pPr>
        <w:pStyle w:val="NoSpacing"/>
        <w:rPr>
          <w:b/>
          <w:bCs/>
          <w:u w:val="single"/>
          <w:shd w:val="clear" w:color="auto" w:fill="FFFFFF"/>
        </w:rPr>
      </w:pPr>
      <w:r w:rsidRPr="00713275">
        <w:rPr>
          <w:b/>
          <w:bCs/>
          <w:u w:val="single"/>
          <w:shd w:val="clear" w:color="auto" w:fill="FFFFFF"/>
        </w:rPr>
        <w:t>Subcontract</w:t>
      </w:r>
      <w:r w:rsidR="005B2B2F">
        <w:rPr>
          <w:b/>
          <w:bCs/>
          <w:u w:val="single"/>
          <w:shd w:val="clear" w:color="auto" w:fill="FFFFFF"/>
        </w:rPr>
        <w:t>ing</w:t>
      </w:r>
      <w:r w:rsidRPr="00713275">
        <w:rPr>
          <w:b/>
          <w:bCs/>
          <w:u w:val="single"/>
          <w:shd w:val="clear" w:color="auto" w:fill="FFFFFF"/>
        </w:rPr>
        <w:t xml:space="preserve"> </w:t>
      </w:r>
      <w:r w:rsidR="00713275" w:rsidRPr="00713275">
        <w:rPr>
          <w:b/>
          <w:bCs/>
          <w:u w:val="single"/>
          <w:shd w:val="clear" w:color="auto" w:fill="FFFFFF"/>
        </w:rPr>
        <w:t>partners</w:t>
      </w:r>
    </w:p>
    <w:p w14:paraId="6E9C8A3B" w14:textId="6A77D31A" w:rsidR="00DF41B7" w:rsidRDefault="00DF41B7" w:rsidP="009074AA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Oaklands College is using </w:t>
      </w:r>
      <w:r w:rsidR="00941257">
        <w:rPr>
          <w:shd w:val="clear" w:color="auto" w:fill="FFFFFF"/>
        </w:rPr>
        <w:t>2</w:t>
      </w:r>
      <w:r>
        <w:rPr>
          <w:shd w:val="clear" w:color="auto" w:fill="FFFFFF"/>
        </w:rPr>
        <w:t xml:space="preserve"> subcontractors </w:t>
      </w:r>
      <w:r w:rsidR="00AE0AD2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the 202</w:t>
      </w:r>
      <w:r w:rsidR="0012411F">
        <w:rPr>
          <w:shd w:val="clear" w:color="auto" w:fill="FFFFFF"/>
        </w:rPr>
        <w:t>1</w:t>
      </w:r>
      <w:r>
        <w:rPr>
          <w:shd w:val="clear" w:color="auto" w:fill="FFFFFF"/>
        </w:rPr>
        <w:t>/202</w:t>
      </w:r>
      <w:r w:rsidR="0012411F">
        <w:rPr>
          <w:shd w:val="clear" w:color="auto" w:fill="FFFFFF"/>
        </w:rPr>
        <w:t>2</w:t>
      </w:r>
      <w:r>
        <w:rPr>
          <w:shd w:val="clear" w:color="auto" w:fill="FFFFFF"/>
        </w:rPr>
        <w:t xml:space="preserve"> academic year</w:t>
      </w:r>
      <w:r w:rsidR="00422832">
        <w:rPr>
          <w:shd w:val="clear" w:color="auto" w:fill="FFFFFF"/>
        </w:rPr>
        <w:t>:</w:t>
      </w:r>
    </w:p>
    <w:p w14:paraId="758038DC" w14:textId="1AA37A04" w:rsidR="009074AA" w:rsidRPr="0011197B" w:rsidRDefault="0011197B" w:rsidP="00422832">
      <w:pPr>
        <w:pStyle w:val="NoSpacing"/>
        <w:numPr>
          <w:ilvl w:val="0"/>
          <w:numId w:val="2"/>
        </w:numPr>
        <w:rPr>
          <w:b/>
          <w:bCs/>
          <w:sz w:val="24"/>
          <w:szCs w:val="24"/>
          <w:shd w:val="clear" w:color="auto" w:fill="FFFFFF"/>
        </w:rPr>
      </w:pPr>
      <w:r w:rsidRPr="0011197B">
        <w:rPr>
          <w:b/>
          <w:bCs/>
          <w:sz w:val="24"/>
          <w:szCs w:val="24"/>
          <w:shd w:val="clear" w:color="auto" w:fill="FFFFFF"/>
        </w:rPr>
        <w:t xml:space="preserve">Groundwork East </w:t>
      </w:r>
    </w:p>
    <w:p w14:paraId="46D7808E" w14:textId="0C3201EB" w:rsidR="009074AA" w:rsidRDefault="009074AA" w:rsidP="00422832">
      <w:pPr>
        <w:pStyle w:val="NoSpacing"/>
        <w:numPr>
          <w:ilvl w:val="1"/>
          <w:numId w:val="2"/>
        </w:numPr>
        <w:rPr>
          <w:rFonts w:ascii="Lato" w:hAnsi="Lato"/>
          <w:color w:val="44546A"/>
        </w:rPr>
      </w:pPr>
      <w:r w:rsidRPr="009074AA">
        <w:rPr>
          <w:shd w:val="clear" w:color="auto" w:fill="FFFFFF"/>
        </w:rPr>
        <w:t>Community charity Groundwork East</w:t>
      </w:r>
      <w:r w:rsidR="00943AE6" w:rsidRPr="003B6F44">
        <w:rPr>
          <w:rFonts w:cstheme="minorHAnsi"/>
          <w:color w:val="000000"/>
        </w:rPr>
        <w:t xml:space="preserve"> deliver Practical Horticulture and Employability </w:t>
      </w:r>
      <w:r w:rsidRPr="003B6F44">
        <w:rPr>
          <w:rFonts w:cstheme="minorHAnsi"/>
          <w:color w:val="000000"/>
        </w:rPr>
        <w:t>skills as</w:t>
      </w:r>
      <w:r w:rsidR="00943AE6" w:rsidRPr="003B6F44">
        <w:rPr>
          <w:rFonts w:cstheme="minorHAnsi"/>
          <w:color w:val="000000"/>
        </w:rPr>
        <w:t xml:space="preserve"> well as pastoral support, to the hard to reach unemployed by undertaking a groundworks project in the community. </w:t>
      </w:r>
      <w:r>
        <w:rPr>
          <w:shd w:val="clear" w:color="auto" w:fill="FFFFFF"/>
        </w:rPr>
        <w:t>They are</w:t>
      </w:r>
      <w:r w:rsidRPr="009074AA">
        <w:rPr>
          <w:shd w:val="clear" w:color="auto" w:fill="FFFFFF"/>
        </w:rPr>
        <w:t xml:space="preserve"> working to create stronger, healthier communities, responsible business, and greater </w:t>
      </w:r>
      <w:r>
        <w:rPr>
          <w:shd w:val="clear" w:color="auto" w:fill="FFFFFF"/>
        </w:rPr>
        <w:t>prospects for local people in and around Bedfordshire.</w:t>
      </w:r>
    </w:p>
    <w:p w14:paraId="56946711" w14:textId="21418337" w:rsidR="00943AE6" w:rsidRPr="00C60221" w:rsidRDefault="00F77E9D" w:rsidP="00422832">
      <w:pPr>
        <w:pStyle w:val="NoSpacing"/>
        <w:numPr>
          <w:ilvl w:val="0"/>
          <w:numId w:val="2"/>
        </w:numPr>
        <w:rPr>
          <w:b/>
          <w:bCs/>
          <w:sz w:val="24"/>
          <w:szCs w:val="24"/>
          <w:shd w:val="clear" w:color="auto" w:fill="FFFFFF"/>
        </w:rPr>
      </w:pPr>
      <w:r w:rsidRPr="00C60221">
        <w:rPr>
          <w:b/>
          <w:bCs/>
          <w:sz w:val="24"/>
          <w:szCs w:val="24"/>
          <w:shd w:val="clear" w:color="auto" w:fill="FFFFFF"/>
        </w:rPr>
        <w:t>P</w:t>
      </w:r>
      <w:r w:rsidR="0011197B" w:rsidRPr="00C60221">
        <w:rPr>
          <w:b/>
          <w:bCs/>
          <w:sz w:val="24"/>
          <w:szCs w:val="24"/>
          <w:shd w:val="clear" w:color="auto" w:fill="FFFFFF"/>
        </w:rPr>
        <w:t>rogression 2</w:t>
      </w:r>
    </w:p>
    <w:p w14:paraId="5930D0F2" w14:textId="13DB8125" w:rsidR="00943AE6" w:rsidRDefault="00943AE6" w:rsidP="00422832">
      <w:pPr>
        <w:pStyle w:val="NoSpacing"/>
        <w:numPr>
          <w:ilvl w:val="1"/>
          <w:numId w:val="2"/>
        </w:numPr>
      </w:pPr>
      <w:r w:rsidRPr="00C60221">
        <w:rPr>
          <w:sz w:val="24"/>
          <w:szCs w:val="24"/>
          <w:shd w:val="clear" w:color="auto" w:fill="FFFFFF"/>
        </w:rPr>
        <w:t xml:space="preserve">Progression 2 Ltd is based in Hatfield, Hertfordshire and specialise in online blended learning delivered to adult learners.  </w:t>
      </w:r>
      <w:r w:rsidR="009074AA" w:rsidRPr="00C60221">
        <w:rPr>
          <w:sz w:val="24"/>
          <w:szCs w:val="24"/>
          <w:shd w:val="clear" w:color="auto" w:fill="FFFFFF"/>
        </w:rPr>
        <w:t>Their</w:t>
      </w:r>
      <w:r w:rsidRPr="00C60221">
        <w:rPr>
          <w:sz w:val="24"/>
          <w:szCs w:val="24"/>
          <w:shd w:val="clear" w:color="auto" w:fill="FFFFFF"/>
        </w:rPr>
        <w:t xml:space="preserve"> aim is to help learners progress to the next level in learning, or in their careers, and </w:t>
      </w:r>
      <w:r w:rsidR="009074AA" w:rsidRPr="00C60221">
        <w:rPr>
          <w:sz w:val="24"/>
          <w:szCs w:val="24"/>
          <w:shd w:val="clear" w:color="auto" w:fill="FFFFFF"/>
        </w:rPr>
        <w:t>they</w:t>
      </w:r>
      <w:r w:rsidRPr="00C60221">
        <w:rPr>
          <w:sz w:val="24"/>
          <w:szCs w:val="24"/>
          <w:shd w:val="clear" w:color="auto" w:fill="FFFFFF"/>
        </w:rPr>
        <w:t xml:space="preserve"> often work with apprentices to help them get ready for university.  </w:t>
      </w:r>
      <w:r w:rsidR="009074AA" w:rsidRPr="00C60221">
        <w:rPr>
          <w:sz w:val="24"/>
          <w:szCs w:val="24"/>
          <w:shd w:val="clear" w:color="auto" w:fill="FFFFFF"/>
        </w:rPr>
        <w:t>They</w:t>
      </w:r>
      <w:r w:rsidRPr="00C60221">
        <w:rPr>
          <w:sz w:val="24"/>
          <w:szCs w:val="24"/>
          <w:shd w:val="clear" w:color="auto" w:fill="FFFFFF"/>
        </w:rPr>
        <w:t xml:space="preserve"> work</w:t>
      </w:r>
      <w:r w:rsidRPr="00C60221">
        <w:t xml:space="preserve"> closely with Oaklands College, the University of Hertfordshire, and NHS Trusts.</w:t>
      </w:r>
      <w:r w:rsidR="00C60221">
        <w:t xml:space="preserve"> </w:t>
      </w:r>
      <w:r w:rsidRPr="009074AA">
        <w:t xml:space="preserve">During the pandemic </w:t>
      </w:r>
      <w:r w:rsidR="009074AA" w:rsidRPr="009074AA">
        <w:t>they</w:t>
      </w:r>
      <w:r w:rsidRPr="009074AA">
        <w:t xml:space="preserve"> have focused on </w:t>
      </w:r>
      <w:r w:rsidR="009B0543">
        <w:t>M</w:t>
      </w:r>
      <w:r w:rsidRPr="009074AA">
        <w:t xml:space="preserve">aths and English functional skills, but as a small company </w:t>
      </w:r>
      <w:r w:rsidR="009074AA" w:rsidRPr="009074AA">
        <w:t>they</w:t>
      </w:r>
      <w:r w:rsidRPr="009074AA">
        <w:t xml:space="preserve"> offer the flexibility to move into other areas as required to meet the needs of the </w:t>
      </w:r>
      <w:r w:rsidR="009074AA" w:rsidRPr="009074AA">
        <w:t xml:space="preserve">learner and the </w:t>
      </w:r>
      <w:r w:rsidRPr="009074AA">
        <w:t>local community.</w:t>
      </w:r>
    </w:p>
    <w:p w14:paraId="1FC067F2" w14:textId="638A3A8E" w:rsidR="00943AE6" w:rsidRDefault="00943AE6"/>
    <w:p w14:paraId="48F542DC" w14:textId="557F75EF" w:rsidR="00713275" w:rsidRPr="00713275" w:rsidRDefault="00713275">
      <w:pPr>
        <w:rPr>
          <w:b/>
          <w:bCs/>
          <w:u w:val="single"/>
        </w:rPr>
      </w:pPr>
      <w:r w:rsidRPr="00713275">
        <w:rPr>
          <w:b/>
          <w:bCs/>
          <w:u w:val="single"/>
        </w:rPr>
        <w:t>Detailed management fee structure</w:t>
      </w:r>
    </w:p>
    <w:p w14:paraId="73BCD7C2" w14:textId="3D61FCAB" w:rsidR="00713275" w:rsidRPr="00932F64" w:rsidRDefault="00713275" w:rsidP="0006627B">
      <w:pPr>
        <w:spacing w:after="0" w:line="240" w:lineRule="auto"/>
        <w:ind w:right="74"/>
        <w:rPr>
          <w:rFonts w:eastAsia="Times New Roman"/>
        </w:rPr>
      </w:pPr>
      <w:r w:rsidRPr="00C14FFB">
        <w:t>The fee retained by the College is calculated as a percentage of the total contract value agreed with the Sub‐contractor. The typical percentage range of fees retained by the College is 15% to 20%.</w:t>
      </w:r>
      <w:r w:rsidR="0006627B">
        <w:t xml:space="preserve">  W</w:t>
      </w:r>
      <w:r w:rsidRPr="00C14FFB">
        <w:t>here the college works with partners using college premises, the college reserves the right to charge a fee of up to 25%.</w:t>
      </w:r>
    </w:p>
    <w:p w14:paraId="2EAE21EB" w14:textId="77777777" w:rsidR="00713275" w:rsidRDefault="00713275" w:rsidP="00713275">
      <w:pPr>
        <w:spacing w:before="14" w:after="0" w:line="280" w:lineRule="exact"/>
        <w:rPr>
          <w:sz w:val="28"/>
          <w:szCs w:val="28"/>
        </w:rPr>
      </w:pPr>
    </w:p>
    <w:p w14:paraId="78AC65CE" w14:textId="1C89CF4D" w:rsidR="00C67B39" w:rsidRDefault="00713275" w:rsidP="00C60221">
      <w:pPr>
        <w:spacing w:after="0" w:line="240" w:lineRule="auto"/>
        <w:ind w:right="74"/>
      </w:pPr>
      <w:r w:rsidRPr="00C14FFB">
        <w:t xml:space="preserve">The fee is open to negotiation and review by Subcontractors and the final fee </w:t>
      </w:r>
      <w:r w:rsidR="00DF41B7">
        <w:t>is</w:t>
      </w:r>
      <w:r w:rsidRPr="00C14FFB">
        <w:t xml:space="preserve"> agreed by both parties. </w:t>
      </w:r>
      <w:r w:rsidR="00C67B39">
        <w:t>The fee structure for 2</w:t>
      </w:r>
      <w:r w:rsidR="00E43623">
        <w:t>1</w:t>
      </w:r>
      <w:r w:rsidR="00C67B39">
        <w:t>-2</w:t>
      </w:r>
      <w:r w:rsidR="00E43623">
        <w:t>2</w:t>
      </w:r>
      <w:r w:rsidR="00C67B39">
        <w:t xml:space="preserve"> is as follows:</w:t>
      </w:r>
    </w:p>
    <w:p w14:paraId="67F00B53" w14:textId="77777777" w:rsidR="00C60221" w:rsidRDefault="00C60221" w:rsidP="00C60221">
      <w:pPr>
        <w:spacing w:after="0" w:line="240" w:lineRule="auto"/>
        <w:ind w:right="7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1985"/>
      </w:tblGrid>
      <w:tr w:rsidR="000D32D9" w:rsidRPr="008136C9" w14:paraId="76159E4E" w14:textId="42119AC1" w:rsidTr="000D32D9">
        <w:tc>
          <w:tcPr>
            <w:tcW w:w="562" w:type="dxa"/>
          </w:tcPr>
          <w:p w14:paraId="22DAED3D" w14:textId="77777777" w:rsidR="000D32D9" w:rsidRPr="008136C9" w:rsidRDefault="000D32D9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</w:tcPr>
          <w:p w14:paraId="43CBF954" w14:textId="77777777" w:rsidR="000D32D9" w:rsidRPr="008136C9" w:rsidRDefault="000D32D9">
            <w:pPr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0328DFE4" w14:textId="0B2A1A4A" w:rsidR="000D32D9" w:rsidRPr="008136C9" w:rsidRDefault="000D32D9" w:rsidP="008136C9">
            <w:pPr>
              <w:jc w:val="center"/>
              <w:rPr>
                <w:b/>
                <w:bCs/>
                <w:u w:val="single"/>
              </w:rPr>
            </w:pPr>
            <w:r w:rsidRPr="008136C9">
              <w:rPr>
                <w:b/>
                <w:bCs/>
                <w:u w:val="single"/>
              </w:rPr>
              <w:t>Progression 2</w:t>
            </w:r>
          </w:p>
        </w:tc>
        <w:tc>
          <w:tcPr>
            <w:tcW w:w="1985" w:type="dxa"/>
          </w:tcPr>
          <w:p w14:paraId="5221CF2C" w14:textId="693F4DAA" w:rsidR="000D32D9" w:rsidRPr="008136C9" w:rsidRDefault="000D32D9" w:rsidP="008136C9">
            <w:pPr>
              <w:jc w:val="center"/>
              <w:rPr>
                <w:b/>
                <w:bCs/>
                <w:u w:val="single"/>
              </w:rPr>
            </w:pPr>
            <w:r w:rsidRPr="008136C9">
              <w:rPr>
                <w:b/>
                <w:bCs/>
                <w:u w:val="single"/>
              </w:rPr>
              <w:t>Groundwork East</w:t>
            </w:r>
          </w:p>
        </w:tc>
      </w:tr>
      <w:tr w:rsidR="000D32D9" w14:paraId="7887AB69" w14:textId="05A935E1" w:rsidTr="000D32D9">
        <w:tc>
          <w:tcPr>
            <w:tcW w:w="4390" w:type="dxa"/>
            <w:gridSpan w:val="2"/>
          </w:tcPr>
          <w:p w14:paraId="17959374" w14:textId="63C13C18" w:rsidR="000D32D9" w:rsidRDefault="000D32D9">
            <w:r>
              <w:t>Contract value – ESFA funding</w:t>
            </w:r>
          </w:p>
        </w:tc>
        <w:tc>
          <w:tcPr>
            <w:tcW w:w="1842" w:type="dxa"/>
          </w:tcPr>
          <w:p w14:paraId="60469A70" w14:textId="416A6160" w:rsidR="000D32D9" w:rsidRDefault="000D32D9" w:rsidP="008136C9">
            <w:pPr>
              <w:jc w:val="center"/>
            </w:pPr>
            <w:r>
              <w:t>£115,000</w:t>
            </w:r>
          </w:p>
        </w:tc>
        <w:tc>
          <w:tcPr>
            <w:tcW w:w="1985" w:type="dxa"/>
          </w:tcPr>
          <w:p w14:paraId="0F9F979A" w14:textId="132CD3A7" w:rsidR="000D32D9" w:rsidRDefault="000D32D9" w:rsidP="008136C9">
            <w:pPr>
              <w:jc w:val="center"/>
            </w:pPr>
            <w:r>
              <w:t>£250,000</w:t>
            </w:r>
          </w:p>
        </w:tc>
      </w:tr>
      <w:tr w:rsidR="000D32D9" w14:paraId="30834A4B" w14:textId="4628FEAA" w:rsidTr="000D32D9">
        <w:tc>
          <w:tcPr>
            <w:tcW w:w="4390" w:type="dxa"/>
            <w:gridSpan w:val="2"/>
          </w:tcPr>
          <w:p w14:paraId="02B56A88" w14:textId="0121DD05" w:rsidR="000D32D9" w:rsidRDefault="000D32D9">
            <w:r>
              <w:t>Funding retained %</w:t>
            </w:r>
          </w:p>
        </w:tc>
        <w:tc>
          <w:tcPr>
            <w:tcW w:w="1842" w:type="dxa"/>
          </w:tcPr>
          <w:p w14:paraId="04C48C9F" w14:textId="517E4F01" w:rsidR="000D32D9" w:rsidRDefault="000D32D9" w:rsidP="008136C9">
            <w:pPr>
              <w:jc w:val="center"/>
            </w:pPr>
            <w:r>
              <w:t>15%</w:t>
            </w:r>
          </w:p>
        </w:tc>
        <w:tc>
          <w:tcPr>
            <w:tcW w:w="1985" w:type="dxa"/>
          </w:tcPr>
          <w:p w14:paraId="03535F7F" w14:textId="258B2A9B" w:rsidR="000D32D9" w:rsidRDefault="000D32D9" w:rsidP="008136C9">
            <w:pPr>
              <w:jc w:val="center"/>
            </w:pPr>
            <w:r>
              <w:t>15%</w:t>
            </w:r>
          </w:p>
        </w:tc>
      </w:tr>
      <w:tr w:rsidR="000D32D9" w14:paraId="2062055F" w14:textId="02D282DF" w:rsidTr="000D32D9">
        <w:tc>
          <w:tcPr>
            <w:tcW w:w="4390" w:type="dxa"/>
            <w:gridSpan w:val="2"/>
          </w:tcPr>
          <w:p w14:paraId="76A79C34" w14:textId="1D76ADA4" w:rsidR="000D32D9" w:rsidRDefault="000D32D9">
            <w:r>
              <w:t>Areas covered by retained funding</w:t>
            </w:r>
          </w:p>
        </w:tc>
        <w:tc>
          <w:tcPr>
            <w:tcW w:w="1842" w:type="dxa"/>
          </w:tcPr>
          <w:p w14:paraId="1720608B" w14:textId="77777777" w:rsidR="000D32D9" w:rsidRDefault="000D32D9" w:rsidP="008136C9">
            <w:pPr>
              <w:jc w:val="center"/>
            </w:pPr>
          </w:p>
        </w:tc>
        <w:tc>
          <w:tcPr>
            <w:tcW w:w="1985" w:type="dxa"/>
          </w:tcPr>
          <w:p w14:paraId="50246C78" w14:textId="77777777" w:rsidR="000D32D9" w:rsidRDefault="000D32D9" w:rsidP="008136C9">
            <w:pPr>
              <w:jc w:val="center"/>
            </w:pPr>
          </w:p>
        </w:tc>
      </w:tr>
      <w:tr w:rsidR="000D32D9" w14:paraId="5D1868B3" w14:textId="73515CAD" w:rsidTr="000D32D9">
        <w:tc>
          <w:tcPr>
            <w:tcW w:w="562" w:type="dxa"/>
          </w:tcPr>
          <w:p w14:paraId="6B74D5D1" w14:textId="77777777" w:rsidR="000D32D9" w:rsidRDefault="000D32D9"/>
        </w:tc>
        <w:tc>
          <w:tcPr>
            <w:tcW w:w="3828" w:type="dxa"/>
          </w:tcPr>
          <w:p w14:paraId="7C3B97A0" w14:textId="23EC9FE1" w:rsidR="000D32D9" w:rsidRDefault="000D32D9">
            <w:r>
              <w:t>Quality assurance and oversight</w:t>
            </w:r>
          </w:p>
        </w:tc>
        <w:tc>
          <w:tcPr>
            <w:tcW w:w="1842" w:type="dxa"/>
          </w:tcPr>
          <w:p w14:paraId="1534DA20" w14:textId="5B56F82E" w:rsidR="000D32D9" w:rsidRDefault="000D32D9" w:rsidP="008136C9">
            <w:pPr>
              <w:jc w:val="center"/>
            </w:pPr>
            <w:r>
              <w:t>1%</w:t>
            </w:r>
          </w:p>
        </w:tc>
        <w:tc>
          <w:tcPr>
            <w:tcW w:w="1985" w:type="dxa"/>
          </w:tcPr>
          <w:p w14:paraId="27A0C0FD" w14:textId="42702927" w:rsidR="000D32D9" w:rsidRDefault="000D32D9" w:rsidP="008136C9">
            <w:pPr>
              <w:jc w:val="center"/>
            </w:pPr>
            <w:r>
              <w:t>2%</w:t>
            </w:r>
          </w:p>
        </w:tc>
      </w:tr>
      <w:tr w:rsidR="000D32D9" w14:paraId="421A9488" w14:textId="7CE97397" w:rsidTr="000D32D9">
        <w:tc>
          <w:tcPr>
            <w:tcW w:w="562" w:type="dxa"/>
          </w:tcPr>
          <w:p w14:paraId="0C757D1D" w14:textId="77777777" w:rsidR="000D32D9" w:rsidRDefault="000D32D9"/>
        </w:tc>
        <w:tc>
          <w:tcPr>
            <w:tcW w:w="3828" w:type="dxa"/>
          </w:tcPr>
          <w:p w14:paraId="124D6C19" w14:textId="734E7508" w:rsidR="000D32D9" w:rsidRDefault="000D32D9">
            <w:r>
              <w:t>Administrative functions (data returns)</w:t>
            </w:r>
          </w:p>
        </w:tc>
        <w:tc>
          <w:tcPr>
            <w:tcW w:w="1842" w:type="dxa"/>
          </w:tcPr>
          <w:p w14:paraId="3F38B527" w14:textId="186223CA" w:rsidR="000D32D9" w:rsidRDefault="000D32D9" w:rsidP="008136C9">
            <w:pPr>
              <w:jc w:val="center"/>
            </w:pPr>
            <w:r>
              <w:t>13%</w:t>
            </w:r>
          </w:p>
        </w:tc>
        <w:tc>
          <w:tcPr>
            <w:tcW w:w="1985" w:type="dxa"/>
          </w:tcPr>
          <w:p w14:paraId="7D8A6A3D" w14:textId="5DD8FDD2" w:rsidR="000D32D9" w:rsidRDefault="000D32D9" w:rsidP="008136C9">
            <w:pPr>
              <w:jc w:val="center"/>
            </w:pPr>
            <w:r>
              <w:t>12%</w:t>
            </w:r>
          </w:p>
        </w:tc>
      </w:tr>
      <w:tr w:rsidR="000D32D9" w14:paraId="09F8E8BE" w14:textId="7A5841C8" w:rsidTr="000D32D9">
        <w:tc>
          <w:tcPr>
            <w:tcW w:w="562" w:type="dxa"/>
          </w:tcPr>
          <w:p w14:paraId="10C0EE51" w14:textId="77777777" w:rsidR="000D32D9" w:rsidRDefault="000D32D9"/>
        </w:tc>
        <w:tc>
          <w:tcPr>
            <w:tcW w:w="3828" w:type="dxa"/>
          </w:tcPr>
          <w:p w14:paraId="548342C9" w14:textId="762B399F" w:rsidR="000D32D9" w:rsidRDefault="000D32D9">
            <w:r>
              <w:t>Meetings, spot checks, training</w:t>
            </w:r>
          </w:p>
        </w:tc>
        <w:tc>
          <w:tcPr>
            <w:tcW w:w="1842" w:type="dxa"/>
          </w:tcPr>
          <w:p w14:paraId="4AA5FD0C" w14:textId="0FC944BF" w:rsidR="000D32D9" w:rsidRDefault="000D32D9" w:rsidP="008136C9">
            <w:pPr>
              <w:jc w:val="center"/>
            </w:pPr>
            <w:r>
              <w:t>1%</w:t>
            </w:r>
          </w:p>
        </w:tc>
        <w:tc>
          <w:tcPr>
            <w:tcW w:w="1985" w:type="dxa"/>
          </w:tcPr>
          <w:p w14:paraId="5CE9A201" w14:textId="36B26DCE" w:rsidR="000D32D9" w:rsidRDefault="000D32D9" w:rsidP="008136C9">
            <w:pPr>
              <w:jc w:val="center"/>
            </w:pPr>
            <w:r>
              <w:t>1%</w:t>
            </w:r>
          </w:p>
        </w:tc>
      </w:tr>
    </w:tbl>
    <w:p w14:paraId="04E95D1A" w14:textId="77777777" w:rsidR="00713275" w:rsidRDefault="00713275"/>
    <w:sectPr w:rsidR="0071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735"/>
    <w:multiLevelType w:val="hybridMultilevel"/>
    <w:tmpl w:val="AA5A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58E"/>
    <w:multiLevelType w:val="hybridMultilevel"/>
    <w:tmpl w:val="14A0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361321">
    <w:abstractNumId w:val="1"/>
  </w:num>
  <w:num w:numId="2" w16cid:durableId="124788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E6"/>
    <w:rsid w:val="0006627B"/>
    <w:rsid w:val="000D32D9"/>
    <w:rsid w:val="0011197B"/>
    <w:rsid w:val="0012411F"/>
    <w:rsid w:val="001612D3"/>
    <w:rsid w:val="00422832"/>
    <w:rsid w:val="00432973"/>
    <w:rsid w:val="00453563"/>
    <w:rsid w:val="005B2B2F"/>
    <w:rsid w:val="00606832"/>
    <w:rsid w:val="006522DC"/>
    <w:rsid w:val="00713275"/>
    <w:rsid w:val="007423DE"/>
    <w:rsid w:val="008136C9"/>
    <w:rsid w:val="009074AA"/>
    <w:rsid w:val="00941257"/>
    <w:rsid w:val="00943AE6"/>
    <w:rsid w:val="009B0543"/>
    <w:rsid w:val="00A54FC0"/>
    <w:rsid w:val="00AE0AD2"/>
    <w:rsid w:val="00C60221"/>
    <w:rsid w:val="00C67B39"/>
    <w:rsid w:val="00DF41B7"/>
    <w:rsid w:val="00E43623"/>
    <w:rsid w:val="00F63DFE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A01E"/>
  <w15:chartTrackingRefBased/>
  <w15:docId w15:val="{897C44E8-7A97-4C30-A844-D666A4F8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2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9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klands.ac.uk/about-us/college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Lee</dc:creator>
  <cp:keywords/>
  <dc:description/>
  <cp:lastModifiedBy>Paul McCormack</cp:lastModifiedBy>
  <cp:revision>3</cp:revision>
  <dcterms:created xsi:type="dcterms:W3CDTF">2021-09-07T16:19:00Z</dcterms:created>
  <dcterms:modified xsi:type="dcterms:W3CDTF">2022-06-05T06:43:00Z</dcterms:modified>
</cp:coreProperties>
</file>